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0C2F3B"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0C2F3B" w:rsidRDefault="000A03B2" w:rsidP="00DE264A">
            <w:pPr>
              <w:tabs>
                <w:tab w:val="left" w:pos="-108"/>
              </w:tabs>
              <w:ind w:left="-108"/>
              <w:jc w:val="left"/>
              <w:rPr>
                <w:rFonts w:cs="Arial"/>
                <w:b/>
                <w:bCs/>
                <w:i/>
                <w:iCs/>
                <w:color w:val="000066"/>
                <w:sz w:val="12"/>
                <w:szCs w:val="12"/>
                <w:lang w:eastAsia="it-IT"/>
              </w:rPr>
            </w:pPr>
            <w:bookmarkStart w:id="0" w:name="_Hlk145068772"/>
            <w:r w:rsidRPr="000C2F3B">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0C2F3B">
              <w:rPr>
                <w:rFonts w:ascii="AdvP6960" w:hAnsi="AdvP6960" w:cs="AdvP6960"/>
                <w:color w:val="241F20"/>
                <w:szCs w:val="18"/>
                <w:lang w:eastAsia="it-IT"/>
              </w:rPr>
              <w:t xml:space="preserve"> </w:t>
            </w:r>
            <w:r w:rsidRPr="000C2F3B">
              <w:rPr>
                <w:rFonts w:cs="Arial"/>
                <w:b/>
                <w:bCs/>
                <w:i/>
                <w:iCs/>
                <w:color w:val="000066"/>
                <w:sz w:val="24"/>
                <w:szCs w:val="24"/>
                <w:lang w:eastAsia="it-IT"/>
              </w:rPr>
              <w:t>CHEMICAL ENGINEERING</w:t>
            </w:r>
            <w:r w:rsidRPr="000C2F3B">
              <w:rPr>
                <w:rFonts w:cs="Arial"/>
                <w:b/>
                <w:bCs/>
                <w:i/>
                <w:iCs/>
                <w:color w:val="0033FF"/>
                <w:sz w:val="24"/>
                <w:szCs w:val="24"/>
                <w:lang w:eastAsia="it-IT"/>
              </w:rPr>
              <w:t xml:space="preserve"> </w:t>
            </w:r>
            <w:r w:rsidRPr="000C2F3B">
              <w:rPr>
                <w:rFonts w:cs="Arial"/>
                <w:b/>
                <w:bCs/>
                <w:i/>
                <w:iCs/>
                <w:color w:val="666666"/>
                <w:sz w:val="24"/>
                <w:szCs w:val="24"/>
                <w:lang w:eastAsia="it-IT"/>
              </w:rPr>
              <w:t>TRANSACTIONS</w:t>
            </w:r>
            <w:r w:rsidRPr="000C2F3B">
              <w:rPr>
                <w:color w:val="333333"/>
                <w:sz w:val="24"/>
                <w:szCs w:val="24"/>
                <w:lang w:eastAsia="it-IT"/>
              </w:rPr>
              <w:t xml:space="preserve"> </w:t>
            </w:r>
            <w:r w:rsidRPr="000C2F3B">
              <w:rPr>
                <w:rFonts w:cs="Arial"/>
                <w:b/>
                <w:bCs/>
                <w:i/>
                <w:iCs/>
                <w:color w:val="000066"/>
                <w:sz w:val="27"/>
                <w:szCs w:val="27"/>
                <w:lang w:eastAsia="it-IT"/>
              </w:rPr>
              <w:br/>
            </w:r>
          </w:p>
          <w:p w14:paraId="4B780582" w14:textId="753620B8" w:rsidR="000A03B2" w:rsidRPr="000C2F3B" w:rsidRDefault="00A76EFC" w:rsidP="001D21AF">
            <w:pPr>
              <w:tabs>
                <w:tab w:val="left" w:pos="-108"/>
              </w:tabs>
              <w:ind w:left="-108"/>
              <w:rPr>
                <w:rFonts w:cs="Arial"/>
                <w:b/>
                <w:bCs/>
                <w:i/>
                <w:iCs/>
                <w:color w:val="000066"/>
                <w:sz w:val="22"/>
                <w:szCs w:val="22"/>
                <w:lang w:eastAsia="it-IT"/>
              </w:rPr>
            </w:pPr>
            <w:r w:rsidRPr="000C2F3B">
              <w:rPr>
                <w:rFonts w:cs="Arial"/>
                <w:b/>
                <w:bCs/>
                <w:i/>
                <w:iCs/>
                <w:color w:val="000066"/>
                <w:sz w:val="22"/>
                <w:szCs w:val="22"/>
                <w:lang w:eastAsia="it-IT"/>
              </w:rPr>
              <w:t>VOL.</w:t>
            </w:r>
            <w:r w:rsidR="00785BF9" w:rsidRPr="000C2F3B">
              <w:rPr>
                <w:rFonts w:cs="Arial"/>
                <w:b/>
                <w:bCs/>
                <w:i/>
                <w:iCs/>
                <w:color w:val="000066"/>
                <w:sz w:val="22"/>
                <w:szCs w:val="22"/>
                <w:lang w:eastAsia="it-IT"/>
              </w:rPr>
              <w:t xml:space="preserve"> </w:t>
            </w:r>
            <w:r w:rsidR="00AD0278" w:rsidRPr="000C2F3B">
              <w:rPr>
                <w:rFonts w:cs="Arial"/>
                <w:b/>
                <w:bCs/>
                <w:i/>
                <w:iCs/>
                <w:color w:val="000066"/>
                <w:sz w:val="22"/>
                <w:szCs w:val="22"/>
                <w:lang w:eastAsia="it-IT"/>
              </w:rPr>
              <w:t>xxx</w:t>
            </w:r>
            <w:r w:rsidR="007B48F9" w:rsidRPr="000C2F3B">
              <w:rPr>
                <w:rFonts w:cs="Arial"/>
                <w:b/>
                <w:bCs/>
                <w:i/>
                <w:iCs/>
                <w:color w:val="000066"/>
                <w:sz w:val="22"/>
                <w:szCs w:val="22"/>
                <w:lang w:eastAsia="it-IT"/>
              </w:rPr>
              <w:t>,</w:t>
            </w:r>
            <w:r w:rsidR="00FA5F5F" w:rsidRPr="000C2F3B">
              <w:rPr>
                <w:rFonts w:cs="Arial"/>
                <w:b/>
                <w:bCs/>
                <w:i/>
                <w:iCs/>
                <w:color w:val="000066"/>
                <w:sz w:val="22"/>
                <w:szCs w:val="22"/>
                <w:lang w:eastAsia="it-IT"/>
              </w:rPr>
              <w:t xml:space="preserve"> </w:t>
            </w:r>
            <w:r w:rsidR="0030152C" w:rsidRPr="000C2F3B">
              <w:rPr>
                <w:rFonts w:cs="Arial"/>
                <w:b/>
                <w:bCs/>
                <w:i/>
                <w:iCs/>
                <w:color w:val="000066"/>
                <w:sz w:val="22"/>
                <w:szCs w:val="22"/>
                <w:lang w:eastAsia="it-IT"/>
              </w:rPr>
              <w:t>202</w:t>
            </w:r>
            <w:r w:rsidR="00AD0278" w:rsidRPr="000C2F3B">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0C2F3B" w:rsidRDefault="000A03B2" w:rsidP="00CD5FE2">
            <w:pPr>
              <w:spacing w:line="140" w:lineRule="atLeast"/>
              <w:jc w:val="right"/>
              <w:rPr>
                <w:rFonts w:cs="Arial"/>
                <w:sz w:val="14"/>
                <w:szCs w:val="14"/>
              </w:rPr>
            </w:pPr>
            <w:r w:rsidRPr="000C2F3B">
              <w:rPr>
                <w:rFonts w:cs="Arial"/>
                <w:sz w:val="14"/>
                <w:szCs w:val="14"/>
              </w:rPr>
              <w:t>A publication of</w:t>
            </w:r>
          </w:p>
          <w:p w14:paraId="599E5441" w14:textId="77777777" w:rsidR="000A03B2" w:rsidRPr="000C2F3B" w:rsidRDefault="000A03B2" w:rsidP="00CD5FE2">
            <w:pPr>
              <w:jc w:val="right"/>
            </w:pPr>
            <w:r w:rsidRPr="000C2F3B">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0C2F3B" w14:paraId="380FA3CD" w14:textId="77777777" w:rsidTr="00DE264A">
        <w:trPr>
          <w:trHeight w:val="567"/>
          <w:jc w:val="center"/>
        </w:trPr>
        <w:tc>
          <w:tcPr>
            <w:tcW w:w="6946" w:type="dxa"/>
            <w:vMerge/>
            <w:tcBorders>
              <w:right w:val="single" w:sz="4" w:space="0" w:color="auto"/>
            </w:tcBorders>
          </w:tcPr>
          <w:p w14:paraId="39E5E4C1" w14:textId="77777777" w:rsidR="000A03B2" w:rsidRPr="000C2F3B"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0C2F3B" w:rsidRDefault="000A03B2" w:rsidP="00CD5FE2">
            <w:pPr>
              <w:spacing w:line="140" w:lineRule="atLeast"/>
              <w:jc w:val="right"/>
              <w:rPr>
                <w:rFonts w:cs="Arial"/>
                <w:sz w:val="14"/>
                <w:szCs w:val="14"/>
              </w:rPr>
            </w:pPr>
            <w:r w:rsidRPr="000C2F3B">
              <w:rPr>
                <w:rFonts w:cs="Arial"/>
                <w:sz w:val="14"/>
                <w:szCs w:val="14"/>
              </w:rPr>
              <w:t>The Italian Association</w:t>
            </w:r>
          </w:p>
          <w:p w14:paraId="7522B1D2" w14:textId="77777777" w:rsidR="000A03B2" w:rsidRPr="000C2F3B" w:rsidRDefault="000A03B2" w:rsidP="00CD5FE2">
            <w:pPr>
              <w:spacing w:line="140" w:lineRule="atLeast"/>
              <w:jc w:val="right"/>
              <w:rPr>
                <w:rFonts w:cs="Arial"/>
                <w:sz w:val="14"/>
                <w:szCs w:val="14"/>
              </w:rPr>
            </w:pPr>
            <w:r w:rsidRPr="000C2F3B">
              <w:rPr>
                <w:rFonts w:cs="Arial"/>
                <w:sz w:val="14"/>
                <w:szCs w:val="14"/>
              </w:rPr>
              <w:t>of Chemical Engineering</w:t>
            </w:r>
          </w:p>
          <w:p w14:paraId="4F0CC5DE" w14:textId="47FDB2FC" w:rsidR="000A03B2" w:rsidRPr="000C2F3B" w:rsidRDefault="000D0268" w:rsidP="00CD5FE2">
            <w:pPr>
              <w:spacing w:line="140" w:lineRule="atLeast"/>
              <w:jc w:val="right"/>
              <w:rPr>
                <w:rFonts w:cs="Arial"/>
                <w:sz w:val="13"/>
                <w:szCs w:val="13"/>
              </w:rPr>
            </w:pPr>
            <w:r w:rsidRPr="000C2F3B">
              <w:rPr>
                <w:rFonts w:cs="Arial"/>
                <w:sz w:val="13"/>
                <w:szCs w:val="13"/>
              </w:rPr>
              <w:t>Online at www.cetjournal.it</w:t>
            </w:r>
          </w:p>
        </w:tc>
      </w:tr>
      <w:tr w:rsidR="000A03B2" w:rsidRPr="000C2F3B" w14:paraId="2D1B7169" w14:textId="77777777" w:rsidTr="00DE264A">
        <w:trPr>
          <w:trHeight w:val="68"/>
          <w:jc w:val="center"/>
        </w:trPr>
        <w:tc>
          <w:tcPr>
            <w:tcW w:w="8789" w:type="dxa"/>
            <w:gridSpan w:val="2"/>
          </w:tcPr>
          <w:p w14:paraId="1D8DD3C9" w14:textId="252289FB" w:rsidR="00AA7D26" w:rsidRPr="000C2F3B" w:rsidRDefault="004A5E57" w:rsidP="004A5E57">
            <w:pPr>
              <w:ind w:left="-107"/>
              <w:outlineLvl w:val="2"/>
              <w:rPr>
                <w:rFonts w:ascii="Tahoma" w:hAnsi="Tahoma" w:cs="Tahoma"/>
                <w:bCs/>
                <w:color w:val="000000"/>
                <w:sz w:val="14"/>
                <w:szCs w:val="14"/>
                <w:lang w:eastAsia="it-IT"/>
              </w:rPr>
            </w:pPr>
            <w:r w:rsidRPr="000C2F3B">
              <w:rPr>
                <w:rFonts w:ascii="Tahoma" w:hAnsi="Tahoma" w:cs="Tahoma"/>
                <w:iCs/>
                <w:color w:val="333333"/>
                <w:sz w:val="14"/>
                <w:szCs w:val="14"/>
                <w:lang w:eastAsia="it-IT"/>
              </w:rPr>
              <w:t>Guest Editors:</w:t>
            </w:r>
            <w:r w:rsidRPr="000C2F3B">
              <w:rPr>
                <w:rFonts w:ascii="Tahoma" w:hAnsi="Tahoma" w:cs="Tahoma"/>
                <w:color w:val="000000"/>
                <w:sz w:val="14"/>
                <w:szCs w:val="14"/>
                <w:shd w:val="clear" w:color="auto" w:fill="FFFFFF"/>
              </w:rPr>
              <w:t xml:space="preserve"> </w:t>
            </w:r>
            <w:r w:rsidR="00005884" w:rsidRPr="000C2F3B">
              <w:rPr>
                <w:rFonts w:ascii="Tahoma" w:hAnsi="Tahoma" w:cs="Tahoma"/>
                <w:color w:val="000000"/>
                <w:sz w:val="14"/>
                <w:szCs w:val="14"/>
                <w:shd w:val="clear" w:color="auto" w:fill="FFFFFF"/>
              </w:rPr>
              <w:t>Marco Bravi, Antonio Marzocchella, Giuseppe Caputo</w:t>
            </w:r>
          </w:p>
          <w:p w14:paraId="1B0F1814" w14:textId="710B7B96" w:rsidR="000A03B2" w:rsidRPr="000C2F3B" w:rsidRDefault="00AA7D26" w:rsidP="00AA7D26">
            <w:pPr>
              <w:tabs>
                <w:tab w:val="left" w:pos="-108"/>
              </w:tabs>
              <w:spacing w:line="140" w:lineRule="atLeast"/>
              <w:ind w:left="-107"/>
              <w:jc w:val="left"/>
            </w:pPr>
            <w:r w:rsidRPr="000C2F3B">
              <w:rPr>
                <w:rFonts w:ascii="Tahoma" w:hAnsi="Tahoma" w:cs="Tahoma"/>
                <w:iCs/>
                <w:color w:val="333333"/>
                <w:sz w:val="14"/>
                <w:szCs w:val="14"/>
                <w:lang w:eastAsia="it-IT"/>
              </w:rPr>
              <w:t>Copyright © 202</w:t>
            </w:r>
            <w:r w:rsidR="00005884" w:rsidRPr="000C2F3B">
              <w:rPr>
                <w:rFonts w:ascii="Tahoma" w:hAnsi="Tahoma" w:cs="Tahoma"/>
                <w:iCs/>
                <w:color w:val="333333"/>
                <w:sz w:val="14"/>
                <w:szCs w:val="14"/>
                <w:lang w:eastAsia="it-IT"/>
              </w:rPr>
              <w:t>6</w:t>
            </w:r>
            <w:r w:rsidRPr="000C2F3B">
              <w:rPr>
                <w:rFonts w:ascii="Tahoma" w:hAnsi="Tahoma" w:cs="Tahoma"/>
                <w:iCs/>
                <w:color w:val="333333"/>
                <w:sz w:val="14"/>
                <w:szCs w:val="14"/>
                <w:lang w:eastAsia="it-IT"/>
              </w:rPr>
              <w:t xml:space="preserve">, AIDIC Servizi </w:t>
            </w:r>
            <w:proofErr w:type="spellStart"/>
            <w:r w:rsidRPr="000C2F3B">
              <w:rPr>
                <w:rFonts w:ascii="Tahoma" w:hAnsi="Tahoma" w:cs="Tahoma"/>
                <w:iCs/>
                <w:color w:val="333333"/>
                <w:sz w:val="14"/>
                <w:szCs w:val="14"/>
                <w:lang w:eastAsia="it-IT"/>
              </w:rPr>
              <w:t>S.r.l</w:t>
            </w:r>
            <w:proofErr w:type="spellEnd"/>
            <w:r w:rsidRPr="000C2F3B">
              <w:rPr>
                <w:rFonts w:ascii="Tahoma" w:hAnsi="Tahoma" w:cs="Tahoma"/>
                <w:iCs/>
                <w:color w:val="333333"/>
                <w:sz w:val="14"/>
                <w:szCs w:val="14"/>
                <w:lang w:eastAsia="it-IT"/>
              </w:rPr>
              <w:t>.</w:t>
            </w:r>
            <w:r w:rsidRPr="000C2F3B">
              <w:rPr>
                <w:rFonts w:ascii="Tahoma" w:hAnsi="Tahoma" w:cs="Tahoma"/>
                <w:iCs/>
                <w:color w:val="333333"/>
                <w:sz w:val="14"/>
                <w:szCs w:val="14"/>
                <w:lang w:eastAsia="it-IT"/>
              </w:rPr>
              <w:br/>
            </w:r>
            <w:r w:rsidRPr="000C2F3B">
              <w:rPr>
                <w:rFonts w:ascii="Tahoma" w:hAnsi="Tahoma" w:cs="Tahoma"/>
                <w:b/>
                <w:iCs/>
                <w:color w:val="000000"/>
                <w:sz w:val="14"/>
                <w:szCs w:val="14"/>
                <w:lang w:eastAsia="it-IT"/>
              </w:rPr>
              <w:t>ISBN</w:t>
            </w:r>
            <w:r w:rsidRPr="000C2F3B">
              <w:rPr>
                <w:rFonts w:ascii="Tahoma" w:hAnsi="Tahoma" w:cs="Tahoma"/>
                <w:iCs/>
                <w:color w:val="000000"/>
                <w:sz w:val="14"/>
                <w:szCs w:val="14"/>
                <w:lang w:eastAsia="it-IT"/>
              </w:rPr>
              <w:t xml:space="preserve"> </w:t>
            </w:r>
            <w:r w:rsidR="00D2582C" w:rsidRPr="000C2F3B">
              <w:rPr>
                <w:rFonts w:ascii="Tahoma" w:hAnsi="Tahoma" w:cs="Tahoma"/>
                <w:sz w:val="14"/>
                <w:szCs w:val="14"/>
              </w:rPr>
              <w:t>979-12-81206-</w:t>
            </w:r>
            <w:r w:rsidR="00005884" w:rsidRPr="000C2F3B">
              <w:rPr>
                <w:rFonts w:ascii="Tahoma" w:hAnsi="Tahoma" w:cs="Tahoma"/>
                <w:sz w:val="14"/>
                <w:szCs w:val="14"/>
              </w:rPr>
              <w:t>xx</w:t>
            </w:r>
            <w:r w:rsidR="009041F8" w:rsidRPr="000C2F3B">
              <w:rPr>
                <w:rFonts w:ascii="Tahoma" w:hAnsi="Tahoma" w:cs="Tahoma"/>
                <w:sz w:val="14"/>
                <w:szCs w:val="14"/>
              </w:rPr>
              <w:t>-</w:t>
            </w:r>
            <w:r w:rsidR="00005884" w:rsidRPr="000C2F3B">
              <w:rPr>
                <w:rFonts w:ascii="Tahoma" w:hAnsi="Tahoma" w:cs="Tahoma"/>
                <w:sz w:val="14"/>
                <w:szCs w:val="14"/>
              </w:rPr>
              <w:t>x</w:t>
            </w:r>
            <w:r w:rsidRPr="000C2F3B">
              <w:rPr>
                <w:rFonts w:ascii="Tahoma" w:hAnsi="Tahoma" w:cs="Tahoma"/>
                <w:iCs/>
                <w:color w:val="333333"/>
                <w:sz w:val="14"/>
                <w:szCs w:val="14"/>
                <w:lang w:eastAsia="it-IT"/>
              </w:rPr>
              <w:t xml:space="preserve">; </w:t>
            </w:r>
            <w:r w:rsidRPr="000C2F3B">
              <w:rPr>
                <w:rFonts w:ascii="Tahoma" w:hAnsi="Tahoma" w:cs="Tahoma"/>
                <w:b/>
                <w:iCs/>
                <w:color w:val="333333"/>
                <w:sz w:val="14"/>
                <w:szCs w:val="14"/>
                <w:lang w:eastAsia="it-IT"/>
              </w:rPr>
              <w:t>ISSN</w:t>
            </w:r>
            <w:r w:rsidRPr="000C2F3B">
              <w:rPr>
                <w:rFonts w:ascii="Tahoma" w:hAnsi="Tahoma" w:cs="Tahoma"/>
                <w:iCs/>
                <w:color w:val="333333"/>
                <w:sz w:val="14"/>
                <w:szCs w:val="14"/>
                <w:lang w:eastAsia="it-IT"/>
              </w:rPr>
              <w:t xml:space="preserve"> 2283-9216</w:t>
            </w:r>
          </w:p>
        </w:tc>
      </w:tr>
    </w:tbl>
    <w:bookmarkEnd w:id="0"/>
    <w:p w14:paraId="5A053D07" w14:textId="2211652E" w:rsidR="00776756" w:rsidRPr="000C2F3B" w:rsidRDefault="00776756" w:rsidP="00776756">
      <w:pPr>
        <w:pStyle w:val="CETTitle"/>
      </w:pPr>
      <w:r w:rsidRPr="000C2F3B">
        <w:rPr>
          <w:rFonts w:cs="Calibri"/>
          <w:kern w:val="36"/>
          <w:szCs w:val="32"/>
          <w:lang w:eastAsia="it-IT"/>
        </w:rPr>
        <w:t>Combined Exploitation of Chitosan Hydrogel and Laccases, for the Removal of Dyes from Textile Industry Wastewaters</w:t>
      </w:r>
    </w:p>
    <w:p w14:paraId="3C438AF9" w14:textId="220ED1A4" w:rsidR="00776756" w:rsidRPr="000C2F3B" w:rsidRDefault="00776756" w:rsidP="00776756">
      <w:pPr>
        <w:pStyle w:val="CETAuthors"/>
      </w:pPr>
      <w:r w:rsidRPr="000C2F3B">
        <w:t>Domenico Pirozzi</w:t>
      </w:r>
      <w:r w:rsidRPr="000C2F3B">
        <w:rPr>
          <w:rFonts w:cs="Calibri"/>
          <w:i/>
          <w:vertAlign w:val="superscript"/>
        </w:rPr>
        <w:t xml:space="preserve"> a,b</w:t>
      </w:r>
      <w:r w:rsidRPr="000C2F3B">
        <w:t>, Moreno Rizzo</w:t>
      </w:r>
      <w:r w:rsidRPr="000C2F3B">
        <w:rPr>
          <w:rFonts w:cs="Calibri"/>
          <w:i/>
          <w:vertAlign w:val="superscript"/>
        </w:rPr>
        <w:t xml:space="preserve"> b</w:t>
      </w:r>
      <w:r w:rsidRPr="000C2F3B">
        <w:t>, Wu Li</w:t>
      </w:r>
      <w:r w:rsidRPr="000C2F3B">
        <w:rPr>
          <w:rFonts w:cs="Calibri"/>
          <w:i/>
          <w:vertAlign w:val="superscript"/>
        </w:rPr>
        <w:t xml:space="preserve"> c</w:t>
      </w:r>
      <w:r w:rsidRPr="000C2F3B">
        <w:t>, Alessandro Latte</w:t>
      </w:r>
      <w:r w:rsidRPr="000C2F3B">
        <w:rPr>
          <w:rFonts w:cs="Calibri"/>
          <w:i/>
          <w:vertAlign w:val="superscript"/>
        </w:rPr>
        <w:t xml:space="preserve"> b</w:t>
      </w:r>
      <w:r w:rsidRPr="000C2F3B">
        <w:t>, Filomena Sannino</w:t>
      </w:r>
      <w:r w:rsidRPr="000C2F3B">
        <w:rPr>
          <w:rFonts w:cs="Calibri"/>
          <w:i/>
          <w:vertAlign w:val="superscript"/>
        </w:rPr>
        <w:t xml:space="preserve"> d</w:t>
      </w:r>
    </w:p>
    <w:p w14:paraId="2E5FDE6F" w14:textId="77777777" w:rsidR="00776756" w:rsidRPr="000C2F3B" w:rsidRDefault="00776756" w:rsidP="00776756">
      <w:pPr>
        <w:pStyle w:val="CETAddress"/>
        <w:rPr>
          <w:rFonts w:cs="Calibri"/>
          <w:szCs w:val="24"/>
        </w:rPr>
      </w:pPr>
      <w:r w:rsidRPr="000C2F3B">
        <w:rPr>
          <w:rFonts w:cs="Calibri"/>
          <w:i/>
          <w:szCs w:val="24"/>
          <w:vertAlign w:val="superscript"/>
        </w:rPr>
        <w:t>a</w:t>
      </w:r>
      <w:r w:rsidRPr="000C2F3B">
        <w:rPr>
          <w:rFonts w:cs="Calibri"/>
          <w:szCs w:val="24"/>
        </w:rPr>
        <w:t xml:space="preserve"> </w:t>
      </w:r>
      <w:r w:rsidRPr="000C2F3B">
        <w:t>CIRAM, University of Naples “Federico II”, Naples, Italy</w:t>
      </w:r>
    </w:p>
    <w:p w14:paraId="2EE51833" w14:textId="77777777" w:rsidR="00776756" w:rsidRPr="000C2F3B" w:rsidRDefault="00776756" w:rsidP="00776756">
      <w:pPr>
        <w:pStyle w:val="CETAddress"/>
        <w:rPr>
          <w:rFonts w:cs="Calibri"/>
          <w:szCs w:val="24"/>
        </w:rPr>
      </w:pPr>
      <w:r w:rsidRPr="000C2F3B">
        <w:rPr>
          <w:rFonts w:cs="Calibri"/>
          <w:i/>
          <w:szCs w:val="24"/>
          <w:vertAlign w:val="superscript"/>
        </w:rPr>
        <w:t>b</w:t>
      </w:r>
      <w:r w:rsidRPr="000C2F3B">
        <w:rPr>
          <w:rFonts w:cs="Calibri"/>
          <w:szCs w:val="24"/>
        </w:rPr>
        <w:t xml:space="preserve"> </w:t>
      </w:r>
      <w:r w:rsidRPr="000C2F3B">
        <w:t>DICMaPI, University of Naples “Federico II”, Naples, Italy</w:t>
      </w:r>
    </w:p>
    <w:p w14:paraId="25DE2822" w14:textId="77777777" w:rsidR="00776756" w:rsidRPr="000C2F3B" w:rsidRDefault="00776756" w:rsidP="00776756">
      <w:pPr>
        <w:pStyle w:val="CETAddress"/>
        <w:rPr>
          <w:rFonts w:cs="Calibri"/>
          <w:szCs w:val="16"/>
        </w:rPr>
      </w:pPr>
      <w:r w:rsidRPr="000C2F3B">
        <w:rPr>
          <w:rFonts w:cs="Calibri"/>
          <w:i/>
          <w:szCs w:val="16"/>
          <w:vertAlign w:val="superscript"/>
        </w:rPr>
        <w:t>c</w:t>
      </w:r>
      <w:r w:rsidRPr="000C2F3B">
        <w:rPr>
          <w:rFonts w:cs="Calibri"/>
          <w:szCs w:val="16"/>
        </w:rPr>
        <w:t xml:space="preserve"> Hubei Polytechnic University, Huangshi, China</w:t>
      </w:r>
    </w:p>
    <w:p w14:paraId="2F140711" w14:textId="1E2700FE" w:rsidR="00776756" w:rsidRPr="000C2F3B" w:rsidRDefault="00776756" w:rsidP="00B57E6F">
      <w:pPr>
        <w:pStyle w:val="CETAddress"/>
        <w:rPr>
          <w:rFonts w:cs="Calibri"/>
          <w:szCs w:val="24"/>
        </w:rPr>
      </w:pPr>
      <w:r w:rsidRPr="000C2F3B">
        <w:rPr>
          <w:rFonts w:cs="Calibri"/>
          <w:i/>
          <w:szCs w:val="24"/>
          <w:vertAlign w:val="superscript"/>
        </w:rPr>
        <w:t>d</w:t>
      </w:r>
      <w:r w:rsidRPr="000C2F3B">
        <w:rPr>
          <w:rFonts w:cs="Calibri"/>
          <w:szCs w:val="24"/>
        </w:rPr>
        <w:t xml:space="preserve"> </w:t>
      </w:r>
      <w:r w:rsidRPr="000C2F3B">
        <w:t>Department of Agricultural Sciences, University of Naples “Federico II”, Portici (Naples), Italy</w:t>
      </w:r>
      <w:r w:rsidRPr="000C2F3B">
        <w:rPr>
          <w:vertAlign w:val="superscript"/>
        </w:rPr>
        <w:t xml:space="preserve"> </w:t>
      </w:r>
    </w:p>
    <w:p w14:paraId="73F1267A" w14:textId="066FCE3E" w:rsidR="00B57E6F" w:rsidRPr="000C2F3B" w:rsidRDefault="00B57E6F" w:rsidP="00B57E6F">
      <w:pPr>
        <w:pStyle w:val="CETemail"/>
      </w:pPr>
      <w:r w:rsidRPr="000C2F3B">
        <w:t xml:space="preserve"> </w:t>
      </w:r>
      <w:r w:rsidR="00776756" w:rsidRPr="000C2F3B">
        <w:t>dpirozzi</w:t>
      </w:r>
      <w:r w:rsidRPr="000C2F3B">
        <w:t>@</w:t>
      </w:r>
      <w:r w:rsidR="00776756" w:rsidRPr="000C2F3B">
        <w:t>unina.it</w:t>
      </w:r>
    </w:p>
    <w:p w14:paraId="53F9B390" w14:textId="3B133143" w:rsidR="002A107A" w:rsidRPr="000C2F3B" w:rsidRDefault="002A107A" w:rsidP="00600535">
      <w:pPr>
        <w:pStyle w:val="CETBodytext"/>
        <w:rPr>
          <w:color w:val="EE0000"/>
          <w:lang w:val="en-GB"/>
        </w:rPr>
      </w:pPr>
      <w:bookmarkStart w:id="1" w:name="_Hlk495475023"/>
      <w:r w:rsidRPr="000C2F3B">
        <w:rPr>
          <w:lang w:val="en-GB"/>
        </w:rPr>
        <w:t>The removal of synthetic dyes from textile wastewater is a critical environmental challenge. This study investigates the performance of chitosan-based materials, including plain chitosan, magnetic chitosan, and magnetic chitosan immobilized with laccase, for the removal of three representative textile dyes: Methylene Blue (MB), Bromophenol Blue (BPB), and Coomassie Brilliant Blue (CBB). The adsorption of dyes onto plain chitosan was strongly pH-dependent, governed by electrostatic interactions between dye molecules and chitosan functional groups. Increasing pH enhanced MB adsorption, while reducing the uptake of the anionic dyes BPB and CBB. Incorporation of iron oxide nanoparticles significantly improved adsorption capacity by increasing surface area and introducing additional interaction mechanisms. Further enhancement was achieved through laccase immobilization, which increased dye removal at all investigated pH values, with the most pronounced effect under acidic conditions (pH 5.0–7.0), consistent with the optimal catalytic activity of the enzyme. Reusability tests demonstrated good operational stability, with approximately 60% of the initial dye removal efficiency retained after 12 cycles, highlighting the potential of this system for sustainable textile wastewater remediation.</w:t>
      </w:r>
    </w:p>
    <w:bookmarkEnd w:id="1"/>
    <w:p w14:paraId="565418C6" w14:textId="282B8BD6" w:rsidR="000C2F3B" w:rsidRPr="000C2F3B" w:rsidRDefault="00600535" w:rsidP="000C2F3B">
      <w:pPr>
        <w:pStyle w:val="CETHeading1"/>
        <w:rPr>
          <w:color w:val="000000" w:themeColor="text1"/>
          <w:lang w:val="en-GB"/>
        </w:rPr>
      </w:pPr>
      <w:r w:rsidRPr="000C2F3B">
        <w:rPr>
          <w:color w:val="000000" w:themeColor="text1"/>
          <w:lang w:val="en-GB"/>
        </w:rPr>
        <w:t>Introduction</w:t>
      </w:r>
    </w:p>
    <w:p w14:paraId="2CB114B6" w14:textId="77777777" w:rsidR="000C2F3B" w:rsidRPr="000C2F3B" w:rsidRDefault="000C2F3B" w:rsidP="000C2F3B">
      <w:pPr>
        <w:pStyle w:val="CETBodytextItalic"/>
        <w:rPr>
          <w:rFonts w:cs="Arial"/>
          <w:i w:val="0"/>
          <w:iCs/>
          <w:color w:val="EE0000"/>
          <w:szCs w:val="18"/>
          <w:lang w:eastAsia="it-IT"/>
        </w:rPr>
      </w:pPr>
      <w:r w:rsidRPr="000C2F3B">
        <w:rPr>
          <w:rFonts w:cs="Arial"/>
          <w:i w:val="0"/>
          <w:iCs/>
          <w:color w:val="EE0000"/>
          <w:szCs w:val="18"/>
          <w:lang w:eastAsia="it-IT"/>
        </w:rPr>
        <w:t xml:space="preserve">Industrial activities are a major source of hazardous contaminants in wastewater, particularly in sectors such as pharmaceuticals, petrochemicals, food processing, and textiles. These effluents contain complex mixtures of organic and inorganic compounds, including toxic and recalcitrant substances that are difficult to remove using conventional treatment technologies. Among these sectors, the textile industry is one of the largest contributors to water pollution due to its </w:t>
      </w:r>
      <w:proofErr w:type="gramStart"/>
      <w:r w:rsidRPr="000C2F3B">
        <w:rPr>
          <w:rFonts w:cs="Arial"/>
          <w:i w:val="0"/>
          <w:iCs/>
          <w:color w:val="EE0000"/>
          <w:szCs w:val="18"/>
          <w:lang w:eastAsia="it-IT"/>
        </w:rPr>
        <w:t>high water</w:t>
      </w:r>
      <w:proofErr w:type="gramEnd"/>
      <w:r w:rsidRPr="000C2F3B">
        <w:rPr>
          <w:rFonts w:cs="Arial"/>
          <w:i w:val="0"/>
          <w:iCs/>
          <w:color w:val="EE0000"/>
          <w:szCs w:val="18"/>
          <w:lang w:eastAsia="it-IT"/>
        </w:rPr>
        <w:t xml:space="preserve"> consumption and extensive use of synthetic chemicals. Textile wastewater is typically characterized by high chemical oxygen demand (COD), biological oxygen demand (BOD), salinity, and strong coloration, making its treatment particularly challenging</w:t>
      </w:r>
      <w:r w:rsidRPr="000C2F3B">
        <w:rPr>
          <w:rFonts w:cs="Arial"/>
          <w:i w:val="0"/>
          <w:iCs/>
          <w:color w:val="EE0000"/>
          <w:szCs w:val="18"/>
          <w:lang w:eastAsia="it-IT"/>
        </w:rPr>
        <w:t>.</w:t>
      </w:r>
    </w:p>
    <w:p w14:paraId="3BD0A4A6" w14:textId="77777777" w:rsidR="000C2F3B" w:rsidRPr="000C2F3B" w:rsidRDefault="000C2F3B" w:rsidP="000C2F3B">
      <w:pPr>
        <w:pStyle w:val="CETBodytextItalic"/>
        <w:rPr>
          <w:rFonts w:cs="Arial"/>
          <w:i w:val="0"/>
          <w:iCs/>
          <w:color w:val="EE0000"/>
          <w:szCs w:val="18"/>
          <w:lang w:eastAsia="it-IT"/>
        </w:rPr>
      </w:pPr>
      <w:r w:rsidRPr="000C2F3B">
        <w:rPr>
          <w:rFonts w:cs="Arial"/>
          <w:i w:val="0"/>
          <w:iCs/>
          <w:color w:val="EE0000"/>
          <w:szCs w:val="18"/>
          <w:lang w:eastAsia="it-IT"/>
        </w:rPr>
        <w:t>Among the most problematic pollutants are synthetic dyes released from textile and printing industries. These compounds are chemically stable, resistant to degradation, and highly visible even at low concentrations. Their presence in water bodies inhibits light penetration, reducing photosynthetic activity and negatively affecting aquatic ecosystems (Zhang et al., 2019). Moreover, many dyes and their degradation intermediates are toxic, mutagenic, or carcinogenic, posing serious risks to environmental and human health.</w:t>
      </w:r>
    </w:p>
    <w:p w14:paraId="74961CFC" w14:textId="77777777" w:rsidR="000C2F3B" w:rsidRPr="000C2F3B" w:rsidRDefault="000C2F3B" w:rsidP="000C2F3B">
      <w:pPr>
        <w:pStyle w:val="CETBodytextItalic"/>
        <w:rPr>
          <w:rFonts w:cs="Arial"/>
          <w:i w:val="0"/>
          <w:iCs/>
          <w:color w:val="EE0000"/>
          <w:szCs w:val="18"/>
          <w:lang w:eastAsia="it-IT"/>
        </w:rPr>
      </w:pPr>
      <w:r w:rsidRPr="000C2F3B">
        <w:rPr>
          <w:rFonts w:cs="Arial"/>
          <w:i w:val="0"/>
          <w:iCs/>
          <w:color w:val="EE0000"/>
          <w:szCs w:val="18"/>
          <w:lang w:eastAsia="it-IT"/>
        </w:rPr>
        <w:t>To address these challenges, various wastewater treatment strategies have been developed. Conventional methods, including membrane filtration, coagulation/flocculation, chemical precipitation, and biological degradation, are often energy-intensive, inefficient at high organic loads, or generate toxic by-products (Rashid et al., 2021; Kumar et al., 2023). Biological processes are cost-effective but limited by the low biodegradability of many dyes (</w:t>
      </w:r>
      <w:proofErr w:type="spellStart"/>
      <w:r w:rsidRPr="000C2F3B">
        <w:rPr>
          <w:rFonts w:cs="Arial"/>
          <w:i w:val="0"/>
          <w:iCs/>
          <w:color w:val="EE0000"/>
          <w:szCs w:val="18"/>
          <w:lang w:eastAsia="it-IT"/>
        </w:rPr>
        <w:t>Aragaw</w:t>
      </w:r>
      <w:proofErr w:type="spellEnd"/>
      <w:r w:rsidRPr="000C2F3B">
        <w:rPr>
          <w:rFonts w:cs="Arial"/>
          <w:i w:val="0"/>
          <w:iCs/>
          <w:color w:val="EE0000"/>
          <w:szCs w:val="18"/>
          <w:lang w:eastAsia="it-IT"/>
        </w:rPr>
        <w:t xml:space="preserve"> et al., 2024), while physicochemical methods, although more efficient, often involve high operational costs (</w:t>
      </w:r>
      <w:proofErr w:type="spellStart"/>
      <w:r w:rsidRPr="000C2F3B">
        <w:rPr>
          <w:rFonts w:cs="Arial"/>
          <w:i w:val="0"/>
          <w:iCs/>
          <w:color w:val="EE0000"/>
          <w:szCs w:val="18"/>
          <w:lang w:eastAsia="it-IT"/>
        </w:rPr>
        <w:t>Hasingler</w:t>
      </w:r>
      <w:proofErr w:type="spellEnd"/>
      <w:r w:rsidRPr="000C2F3B">
        <w:rPr>
          <w:rFonts w:cs="Arial"/>
          <w:i w:val="0"/>
          <w:iCs/>
          <w:color w:val="EE0000"/>
          <w:szCs w:val="18"/>
          <w:lang w:eastAsia="it-IT"/>
        </w:rPr>
        <w:t xml:space="preserve"> et al., 2016) and secondary pollution such as sludge generation (Yang et al., 2024).</w:t>
      </w:r>
    </w:p>
    <w:p w14:paraId="4B6D2BA7" w14:textId="77777777" w:rsidR="000C2F3B" w:rsidRPr="000C2F3B" w:rsidRDefault="000C2F3B" w:rsidP="000C2F3B">
      <w:pPr>
        <w:pStyle w:val="CETBodytextItalic"/>
        <w:rPr>
          <w:rFonts w:cs="Arial"/>
          <w:i w:val="0"/>
          <w:iCs/>
          <w:color w:val="EE0000"/>
          <w:szCs w:val="18"/>
          <w:lang w:eastAsia="it-IT"/>
        </w:rPr>
      </w:pPr>
      <w:r w:rsidRPr="000C2F3B">
        <w:rPr>
          <w:rFonts w:cs="Arial"/>
          <w:i w:val="0"/>
          <w:iCs/>
          <w:color w:val="EE0000"/>
          <w:szCs w:val="18"/>
          <w:lang w:eastAsia="it-IT"/>
        </w:rPr>
        <w:lastRenderedPageBreak/>
        <w:t>Recently, advanced treatment technologies have emerged as promising alternatives, including advanced oxidation processes (AOPs) such as photocatalysis, Fenton-based reactions, ozonation, and electrochemical oxidation, which can degrade complex organic pollutants. Adsorption using activated carbon, biochar, and nanostructured materials has also been widely explored due to its simplicity and effectiveness. In addition, hybrid systems combining biological, physical, and chemical processes have shown improved performance in treating complex textile effluents.</w:t>
      </w:r>
    </w:p>
    <w:p w14:paraId="149AFA07" w14:textId="36307983" w:rsidR="000C2F3B" w:rsidRPr="000C2F3B" w:rsidRDefault="000C2F3B" w:rsidP="002A107A">
      <w:pPr>
        <w:pStyle w:val="CETBodytextItalic"/>
        <w:rPr>
          <w:rFonts w:cs="Arial"/>
          <w:i w:val="0"/>
          <w:iCs/>
          <w:color w:val="EE0000"/>
          <w:szCs w:val="18"/>
          <w:lang w:eastAsia="it-IT"/>
        </w:rPr>
      </w:pPr>
      <w:r w:rsidRPr="000C2F3B">
        <w:rPr>
          <w:rFonts w:cs="Arial"/>
          <w:i w:val="0"/>
          <w:iCs/>
          <w:color w:val="EE0000"/>
          <w:szCs w:val="18"/>
          <w:lang w:eastAsia="it-IT"/>
        </w:rPr>
        <w:t>Despite these advances, challenges related to scalability, cost-effectiveness, and environmental sustainability remain. Therefore, there is a growing need for innovative and eco-friendly treatment approaches capable of efficiently removing toxic compounds from industrial wastewater, particularly from the textile sector, while minimizing energy consumption and secondary pollution.</w:t>
      </w:r>
    </w:p>
    <w:p w14:paraId="5A855F03" w14:textId="1868F20D" w:rsidR="000C2F3B" w:rsidRPr="000C2F3B" w:rsidRDefault="002A107A" w:rsidP="000C2F3B">
      <w:pPr>
        <w:pStyle w:val="CETBodytextItalic"/>
        <w:rPr>
          <w:rFonts w:cs="Arial"/>
          <w:i w:val="0"/>
          <w:iCs/>
          <w:szCs w:val="18"/>
          <w:lang w:eastAsia="it-IT"/>
        </w:rPr>
      </w:pPr>
      <w:r w:rsidRPr="000C2F3B">
        <w:rPr>
          <w:rFonts w:cs="Arial"/>
          <w:i w:val="0"/>
          <w:iCs/>
          <w:szCs w:val="18"/>
          <w:lang w:eastAsia="it-IT"/>
        </w:rPr>
        <w:t xml:space="preserve">Adsorption has emerged as an effective and low-cost alternative for dye removal from wastewater </w:t>
      </w:r>
      <w:r w:rsidR="003B547F" w:rsidRPr="000C2F3B">
        <w:rPr>
          <w:rFonts w:cs="Arial"/>
          <w:i w:val="0"/>
          <w:iCs/>
          <w:szCs w:val="18"/>
          <w:lang w:eastAsia="it-IT"/>
        </w:rPr>
        <w:t xml:space="preserve">(Pirozzi and Sannino, 2014; Di Martino et al, 2015; </w:t>
      </w:r>
      <w:r w:rsidR="000C5719" w:rsidRPr="000C2F3B">
        <w:rPr>
          <w:rFonts w:cs="Arial"/>
          <w:i w:val="0"/>
          <w:iCs/>
          <w:color w:val="EE0000"/>
          <w:szCs w:val="18"/>
          <w:lang w:eastAsia="it-IT"/>
        </w:rPr>
        <w:t>Stoller et al., 2019</w:t>
      </w:r>
      <w:r w:rsidR="000C5719" w:rsidRPr="000C2F3B">
        <w:rPr>
          <w:rFonts w:cs="Arial"/>
          <w:i w:val="0"/>
          <w:iCs/>
          <w:szCs w:val="18"/>
          <w:lang w:eastAsia="it-IT"/>
        </w:rPr>
        <w:t xml:space="preserve">; </w:t>
      </w:r>
      <w:r w:rsidR="003B547F" w:rsidRPr="000C2F3B">
        <w:rPr>
          <w:rFonts w:cs="Arial"/>
          <w:i w:val="0"/>
          <w:iCs/>
          <w:szCs w:val="18"/>
          <w:lang w:eastAsia="it-IT"/>
        </w:rPr>
        <w:t>Sannino et al., 2022</w:t>
      </w:r>
      <w:r w:rsidR="006F5EC6" w:rsidRPr="000C2F3B">
        <w:rPr>
          <w:rFonts w:cs="Arial"/>
          <w:i w:val="0"/>
          <w:iCs/>
          <w:szCs w:val="18"/>
          <w:lang w:eastAsia="it-IT"/>
        </w:rPr>
        <w:t>;</w:t>
      </w:r>
      <w:r w:rsidR="00011B2D" w:rsidRPr="000C2F3B">
        <w:rPr>
          <w:rFonts w:cs="Arial"/>
          <w:i w:val="0"/>
          <w:iCs/>
          <w:szCs w:val="18"/>
          <w:lang w:eastAsia="it-IT"/>
        </w:rPr>
        <w:t xml:space="preserve"> </w:t>
      </w:r>
      <w:r w:rsidR="00011B2D" w:rsidRPr="000C2F3B">
        <w:rPr>
          <w:rFonts w:cs="Arial"/>
          <w:i w:val="0"/>
          <w:iCs/>
          <w:color w:val="EE0000"/>
          <w:szCs w:val="18"/>
          <w:lang w:eastAsia="it-IT"/>
        </w:rPr>
        <w:t>Satyam et al., 2024</w:t>
      </w:r>
      <w:r w:rsidR="006F5EC6" w:rsidRPr="000C2F3B">
        <w:rPr>
          <w:rFonts w:cs="Arial"/>
          <w:i w:val="0"/>
          <w:iCs/>
          <w:color w:val="EE0000"/>
          <w:szCs w:val="18"/>
          <w:lang w:eastAsia="it-IT"/>
        </w:rPr>
        <w:t>; Hu et al., 2025</w:t>
      </w:r>
      <w:r w:rsidR="003B547F" w:rsidRPr="000C2F3B">
        <w:rPr>
          <w:rFonts w:cs="Arial"/>
          <w:i w:val="0"/>
          <w:iCs/>
          <w:szCs w:val="18"/>
          <w:lang w:eastAsia="it-IT"/>
        </w:rPr>
        <w:t>)</w:t>
      </w:r>
      <w:r w:rsidRPr="000C2F3B">
        <w:rPr>
          <w:rFonts w:cs="Arial"/>
          <w:i w:val="0"/>
          <w:iCs/>
          <w:szCs w:val="18"/>
          <w:lang w:eastAsia="it-IT"/>
        </w:rPr>
        <w:t>. In this context, chitosan has attracted considerable interest as an adsorbent due to the presence of hydroxyl (–OH) and amine (–NH</w:t>
      </w:r>
      <w:r w:rsidRPr="000C2F3B">
        <w:rPr>
          <w:rFonts w:ascii="Cambria Math" w:hAnsi="Cambria Math" w:cs="Cambria Math"/>
          <w:i w:val="0"/>
          <w:iCs/>
          <w:szCs w:val="18"/>
          <w:lang w:eastAsia="it-IT"/>
        </w:rPr>
        <w:t>₂</w:t>
      </w:r>
      <w:r w:rsidRPr="000C2F3B">
        <w:rPr>
          <w:rFonts w:cs="Arial"/>
          <w:i w:val="0"/>
          <w:iCs/>
          <w:szCs w:val="18"/>
          <w:lang w:eastAsia="it-IT"/>
        </w:rPr>
        <w:t>) groups, which provide multiple adsorption sites and allow chemical modification. Chitosan is derived from chitin, an abundant by-product of seafood processing, making it a sustainable material consistent with circular economy principles. To improve its performance and facilitate recovery, chitosan has been modified with various additives, including iron oxide nanoparticles, to produce magnetic composites.</w:t>
      </w:r>
    </w:p>
    <w:p w14:paraId="6D32D4FB" w14:textId="77777777" w:rsidR="000C2F3B" w:rsidRPr="000C2F3B" w:rsidRDefault="000C2F3B" w:rsidP="000C2F3B">
      <w:pPr>
        <w:pStyle w:val="CETBodytextItalic"/>
        <w:rPr>
          <w:rFonts w:cs="Arial"/>
          <w:i w:val="0"/>
          <w:iCs/>
          <w:color w:val="EE0000"/>
          <w:szCs w:val="18"/>
          <w:lang w:eastAsia="it-IT"/>
        </w:rPr>
      </w:pPr>
      <w:r w:rsidRPr="000C2F3B">
        <w:rPr>
          <w:rFonts w:cs="Arial"/>
          <w:i w:val="0"/>
          <w:iCs/>
          <w:color w:val="EE0000"/>
          <w:szCs w:val="18"/>
          <w:lang w:eastAsia="it-IT"/>
        </w:rPr>
        <w:t>Chitosan-based hydrogels are promising adsorbents, offering enhanced porosity, mechanical stability, and adsorption capacity compared to native chitosan (Pandey et al., 2020). Their properties can be further improved by incorporating functional additives or using them as matrices for enzyme immobilization. Although chitosan hydrogels have been explored as supports for laccase immobilization (Naghdi et al., 2019), these studies mainly focused on antibacterial applications, leaving their potential for integrated pollutant removal comparatively underexplored.</w:t>
      </w:r>
    </w:p>
    <w:p w14:paraId="3BA61E98" w14:textId="77777777" w:rsidR="000C2F3B" w:rsidRPr="000C2F3B" w:rsidRDefault="000C2F3B" w:rsidP="000C2F3B">
      <w:pPr>
        <w:pStyle w:val="CETBodytextItalic"/>
        <w:rPr>
          <w:rFonts w:cs="Arial"/>
          <w:i w:val="0"/>
          <w:iCs/>
          <w:color w:val="EE0000"/>
          <w:szCs w:val="18"/>
          <w:lang w:eastAsia="it-IT"/>
        </w:rPr>
      </w:pPr>
      <w:r w:rsidRPr="000C2F3B">
        <w:rPr>
          <w:rFonts w:cs="Arial"/>
          <w:i w:val="0"/>
          <w:iCs/>
          <w:color w:val="EE0000"/>
          <w:szCs w:val="18"/>
          <w:lang w:eastAsia="it-IT"/>
        </w:rPr>
        <w:t>In this study, a novel hybrid system combines the adsorption capability of chitosan hydrogels with the catalytic activity of immobilized laccase, enabling simultaneous removal and degradation of textile dyes. This dual-function approach integrates two complementary mechanisms in a single material platform. The hydrogel matrix enhances dye uptake and provides a stable environment for enzyme immobilization, improving laccase stability, reusability, and operational efficiency. Magnetic properties further allow rapid recovery of the biocatalyst, addressing a key limitation in enzyme-based treatments.</w:t>
      </w:r>
    </w:p>
    <w:p w14:paraId="6A6DD23D" w14:textId="7190F8EE" w:rsidR="000C2F3B" w:rsidRPr="000C2F3B" w:rsidRDefault="000C2F3B" w:rsidP="000C2F3B">
      <w:pPr>
        <w:pStyle w:val="CETBodytextItalic"/>
        <w:rPr>
          <w:rFonts w:cs="Arial"/>
          <w:i w:val="0"/>
          <w:iCs/>
          <w:color w:val="EE0000"/>
          <w:szCs w:val="18"/>
          <w:lang w:eastAsia="it-IT"/>
        </w:rPr>
      </w:pPr>
      <w:r w:rsidRPr="000C2F3B">
        <w:rPr>
          <w:rFonts w:cs="Arial"/>
          <w:i w:val="0"/>
          <w:iCs/>
          <w:color w:val="EE0000"/>
          <w:szCs w:val="18"/>
          <w:lang w:eastAsia="it-IT"/>
        </w:rPr>
        <w:t>The system’s effectiveness is demonstrated on three representative textile dyes</w:t>
      </w:r>
      <w:r w:rsidR="008C1F60">
        <w:rPr>
          <w:rFonts w:cs="Arial"/>
          <w:i w:val="0"/>
          <w:iCs/>
          <w:color w:val="EE0000"/>
          <w:szCs w:val="18"/>
          <w:lang w:eastAsia="it-IT"/>
        </w:rPr>
        <w:t xml:space="preserve">, </w:t>
      </w:r>
      <w:r w:rsidRPr="000C2F3B">
        <w:rPr>
          <w:rFonts w:cs="Arial"/>
          <w:i w:val="0"/>
          <w:iCs/>
          <w:color w:val="EE0000"/>
          <w:szCs w:val="18"/>
          <w:lang w:eastAsia="it-IT"/>
        </w:rPr>
        <w:t>Methylene Blue, Bromophenol Blue, and Coomassie Brilliant Blue</w:t>
      </w:r>
      <w:r w:rsidR="008C1F60">
        <w:rPr>
          <w:rFonts w:cs="Arial"/>
          <w:i w:val="0"/>
          <w:iCs/>
          <w:color w:val="EE0000"/>
          <w:szCs w:val="18"/>
          <w:lang w:eastAsia="it-IT"/>
        </w:rPr>
        <w:t xml:space="preserve">, </w:t>
      </w:r>
      <w:r w:rsidRPr="000C2F3B">
        <w:rPr>
          <w:rFonts w:cs="Arial"/>
          <w:i w:val="0"/>
          <w:iCs/>
          <w:color w:val="EE0000"/>
          <w:szCs w:val="18"/>
          <w:lang w:eastAsia="it-IT"/>
        </w:rPr>
        <w:t>highlighting its versatility toward structurally diverse pollutants. Compared to conventional methods, this approach reduces the need for harsh chemicals, minimizes secondary pollution, and offers a more sustainable and scalable solution for complex industrial effluents.</w:t>
      </w:r>
    </w:p>
    <w:p w14:paraId="2C12A737" w14:textId="6B152CC6" w:rsidR="00387634" w:rsidRPr="000C2F3B" w:rsidRDefault="000C2F3B" w:rsidP="002A107A">
      <w:pPr>
        <w:pStyle w:val="CETBodytextItalic"/>
        <w:rPr>
          <w:rFonts w:cs="Arial"/>
          <w:i w:val="0"/>
          <w:iCs/>
          <w:color w:val="EE0000"/>
          <w:szCs w:val="18"/>
          <w:lang w:eastAsia="it-IT"/>
        </w:rPr>
      </w:pPr>
      <w:r w:rsidRPr="000C2F3B">
        <w:rPr>
          <w:rFonts w:cs="Arial"/>
          <w:i w:val="0"/>
          <w:iCs/>
          <w:color w:val="EE0000"/>
          <w:szCs w:val="18"/>
          <w:lang w:eastAsia="it-IT"/>
        </w:rPr>
        <w:t>From a broader perspective, this work advances environmentally friendly wastewater treatment technologies aligned with green chemistry and circular economy principles. The approach supports the United Nations Agenda 2030 Sustainable Development Goals (SDGs), particularly SDG 6 (Clean Water and Sanitation) by efficiently removing hazardous contaminants, and SDG 12 (Responsible Consumption and Production) by promoting sustainable industrial processes. By addressing key challenges in pollutant removal efficiency, material reusability, and process sustainability, this study provides a meaningful step toward next-generation treatment systems for textile wastewater.</w:t>
      </w:r>
    </w:p>
    <w:p w14:paraId="47974E21" w14:textId="5866B6D9" w:rsidR="00865A31" w:rsidRPr="000C2F3B" w:rsidRDefault="00865A31" w:rsidP="00865A31">
      <w:pPr>
        <w:pStyle w:val="CETHeading1"/>
        <w:rPr>
          <w:color w:val="000000" w:themeColor="text1"/>
          <w:lang w:val="en-GB"/>
        </w:rPr>
      </w:pPr>
      <w:r w:rsidRPr="000C2F3B">
        <w:rPr>
          <w:color w:val="000000" w:themeColor="text1"/>
          <w:lang w:val="en-GB"/>
        </w:rPr>
        <w:t>Material and Methods</w:t>
      </w:r>
    </w:p>
    <w:p w14:paraId="6F5A5BE0" w14:textId="7D52834F" w:rsidR="004C4A63" w:rsidRPr="000C2F3B" w:rsidRDefault="004C4A63" w:rsidP="002F4BD8">
      <w:pPr>
        <w:pStyle w:val="CETheadingx"/>
      </w:pPr>
      <w:r w:rsidRPr="000C2F3B">
        <w:t>Materials</w:t>
      </w:r>
    </w:p>
    <w:p w14:paraId="1C4DFF63" w14:textId="11F00FE5" w:rsidR="004C4A63" w:rsidRPr="000C2F3B" w:rsidRDefault="004C4A63" w:rsidP="004C4A63">
      <w:pPr>
        <w:pStyle w:val="CETBodytextItalic"/>
        <w:rPr>
          <w:i w:val="0"/>
          <w:iCs/>
          <w:sz w:val="16"/>
          <w:szCs w:val="18"/>
        </w:rPr>
      </w:pPr>
      <w:r w:rsidRPr="000C2F3B">
        <w:rPr>
          <w:i w:val="0"/>
          <w:iCs/>
          <w:szCs w:val="18"/>
        </w:rPr>
        <w:t xml:space="preserve">Low molecular-weight chitosan (average molecular weight: 110000, average deacetylation degree: 75%), laccase from Aspergillus spp., Methylene Blue (MB), Bromophenol Blue (BPB), Coomassie Brilliant Blue (BB), ABTS [2,2’-azino-bis-(3- ethyl-benzthiazoline-6-sulfonic acid)], </w:t>
      </w:r>
      <w:proofErr w:type="spellStart"/>
      <w:r w:rsidRPr="000C2F3B">
        <w:rPr>
          <w:i w:val="0"/>
          <w:iCs/>
          <w:szCs w:val="18"/>
        </w:rPr>
        <w:t>hydroxybenzotriazole</w:t>
      </w:r>
      <w:proofErr w:type="spellEnd"/>
      <w:r w:rsidRPr="000C2F3B">
        <w:rPr>
          <w:i w:val="0"/>
          <w:iCs/>
          <w:szCs w:val="18"/>
        </w:rPr>
        <w:t xml:space="preserve"> (HBT) and all the remaining reactants were purchased from Sigma-Aldrich. All reactants used were analytical grade.</w:t>
      </w:r>
    </w:p>
    <w:p w14:paraId="112CE791" w14:textId="1DED3B59" w:rsidR="00C72296" w:rsidRPr="000C2F3B" w:rsidRDefault="00C72296" w:rsidP="002F4BD8">
      <w:pPr>
        <w:pStyle w:val="CETheadingx"/>
      </w:pPr>
      <w:r w:rsidRPr="000C2F3B">
        <w:t>Synthesis of the chitosan hydrogel</w:t>
      </w:r>
    </w:p>
    <w:p w14:paraId="6EC4A0B5" w14:textId="26249650" w:rsidR="00C72296" w:rsidRPr="000C2F3B" w:rsidRDefault="00C72296" w:rsidP="00C72296">
      <w:pPr>
        <w:pStyle w:val="CETBodytextItalic"/>
        <w:rPr>
          <w:i w:val="0"/>
          <w:iCs/>
          <w:sz w:val="16"/>
          <w:szCs w:val="16"/>
        </w:rPr>
      </w:pPr>
      <w:r w:rsidRPr="000C2F3B">
        <w:rPr>
          <w:i w:val="0"/>
          <w:iCs/>
          <w:szCs w:val="18"/>
        </w:rPr>
        <w:t xml:space="preserve">Chitosan (2% w/v) was added to a 1% acetic acid </w:t>
      </w:r>
      <w:proofErr w:type="gramStart"/>
      <w:r w:rsidRPr="000C2F3B">
        <w:rPr>
          <w:i w:val="0"/>
          <w:iCs/>
          <w:szCs w:val="18"/>
        </w:rPr>
        <w:t>solution, and</w:t>
      </w:r>
      <w:proofErr w:type="gramEnd"/>
      <w:r w:rsidRPr="000C2F3B">
        <w:rPr>
          <w:i w:val="0"/>
          <w:iCs/>
          <w:szCs w:val="18"/>
        </w:rPr>
        <w:t xml:space="preserve"> completely dissolved by a 3 h stirring. The solution obtained was added dropwise, using a 1-mm diameter syringe, into a solution of methanol in HCl (20:1 v/v) containing 1</w:t>
      </w:r>
      <w:r w:rsidRPr="000C2F3B">
        <w:rPr>
          <w:bCs/>
          <w:i w:val="0"/>
          <w:iCs/>
          <w:szCs w:val="18"/>
          <w:lang w:eastAsia="de-DE"/>
        </w:rPr>
        <w:t>%</w:t>
      </w:r>
      <w:r w:rsidRPr="000C2F3B">
        <w:rPr>
          <w:i w:val="0"/>
          <w:iCs/>
          <w:szCs w:val="18"/>
        </w:rPr>
        <w:t xml:space="preserve"> glutaraldehyde. The hydrogel beads obtained were removed by filtration and used for adsorption experiments.</w:t>
      </w:r>
    </w:p>
    <w:p w14:paraId="001CEAF5" w14:textId="43998E7D" w:rsidR="00C72296" w:rsidRPr="000C2F3B" w:rsidRDefault="00F90736" w:rsidP="002F4BD8">
      <w:pPr>
        <w:pStyle w:val="CETheadingx"/>
      </w:pPr>
      <w:r w:rsidRPr="000C2F3B">
        <w:t>Adsorption of dyes by</w:t>
      </w:r>
      <w:r w:rsidR="00C72296" w:rsidRPr="000C2F3B">
        <w:t xml:space="preserve"> chitosan hydrogel</w:t>
      </w:r>
    </w:p>
    <w:p w14:paraId="0ADED9F3" w14:textId="4AC0D3FC" w:rsidR="00F90736" w:rsidRPr="000C2F3B" w:rsidRDefault="00F90736" w:rsidP="00F90736">
      <w:pPr>
        <w:pStyle w:val="CETBodytextItalic"/>
        <w:rPr>
          <w:i w:val="0"/>
          <w:iCs/>
          <w:szCs w:val="18"/>
        </w:rPr>
      </w:pPr>
      <w:r w:rsidRPr="000C2F3B">
        <w:rPr>
          <w:i w:val="0"/>
          <w:iCs/>
          <w:szCs w:val="18"/>
        </w:rPr>
        <w:t xml:space="preserve">The adsorption of dyes was carried out at solid/liquid (S/L) ratio of 1/100. In each experiment, 5 ml of dye solution, usually at the concentration of 10 mg/L, were inserted in a 10 ml tube and inserted in an orbital stirrer </w:t>
      </w:r>
      <w:r w:rsidRPr="000C2F3B">
        <w:rPr>
          <w:i w:val="0"/>
          <w:iCs/>
          <w:szCs w:val="18"/>
        </w:rPr>
        <w:lastRenderedPageBreak/>
        <w:t xml:space="preserve">at 37°C. Subsequently, 50 mg of chitosan hydrogel particles were added to the solution and kept under stirring (100 rpm). </w:t>
      </w:r>
    </w:p>
    <w:p w14:paraId="7B0F6412" w14:textId="1B50EE9E" w:rsidR="00F90736" w:rsidRPr="000C2F3B" w:rsidRDefault="00F90736" w:rsidP="00F90736">
      <w:pPr>
        <w:pStyle w:val="CETBodytextItalic"/>
        <w:rPr>
          <w:i w:val="0"/>
          <w:iCs/>
          <w:sz w:val="16"/>
          <w:szCs w:val="16"/>
        </w:rPr>
      </w:pPr>
      <w:r w:rsidRPr="000C2F3B">
        <w:rPr>
          <w:i w:val="0"/>
          <w:iCs/>
          <w:szCs w:val="18"/>
        </w:rPr>
        <w:t xml:space="preserve">At different time intervals, samples were </w:t>
      </w:r>
      <w:proofErr w:type="spellStart"/>
      <w:r w:rsidRPr="000C2F3B">
        <w:rPr>
          <w:i w:val="0"/>
          <w:iCs/>
          <w:szCs w:val="18"/>
        </w:rPr>
        <w:t>uptaken</w:t>
      </w:r>
      <w:proofErr w:type="spellEnd"/>
      <w:r w:rsidRPr="000C2F3B">
        <w:rPr>
          <w:i w:val="0"/>
          <w:iCs/>
          <w:szCs w:val="18"/>
        </w:rPr>
        <w:t>. The chitosan particles were separated by filtration under vacuum, and the optical density of the solution was measured by a spectrophotometer (Shimadzu UV 1700).</w:t>
      </w:r>
    </w:p>
    <w:p w14:paraId="0E52DE20" w14:textId="187F083E" w:rsidR="00F90736" w:rsidRPr="000C2F3B" w:rsidRDefault="00F90736" w:rsidP="00F90736">
      <w:pPr>
        <w:pStyle w:val="CETBodytextItalic"/>
        <w:rPr>
          <w:i w:val="0"/>
          <w:iCs/>
          <w:sz w:val="16"/>
          <w:szCs w:val="18"/>
        </w:rPr>
      </w:pPr>
      <w:r w:rsidRPr="000C2F3B">
        <w:rPr>
          <w:i w:val="0"/>
          <w:iCs/>
          <w:szCs w:val="18"/>
        </w:rPr>
        <w:t>The concentration of each dye before and after the adsorption tests was obtained by absorbance measurement at fixed wavelength values, namely: 668 nm for MB, 590 nm for BPB and 583 nm for BB.</w:t>
      </w:r>
    </w:p>
    <w:p w14:paraId="1B6C536B" w14:textId="5F40F142" w:rsidR="00C72296" w:rsidRPr="000C2F3B" w:rsidRDefault="003170B9" w:rsidP="002F4BD8">
      <w:pPr>
        <w:pStyle w:val="CETheadingx"/>
      </w:pPr>
      <w:r w:rsidRPr="000C2F3B">
        <w:t>Determination of laccase activity</w:t>
      </w:r>
    </w:p>
    <w:p w14:paraId="01CA76C1" w14:textId="77777777" w:rsidR="003170B9" w:rsidRPr="000C2F3B" w:rsidRDefault="003170B9" w:rsidP="003170B9">
      <w:pPr>
        <w:pStyle w:val="CETBodytextItalic"/>
        <w:rPr>
          <w:i w:val="0"/>
          <w:iCs/>
          <w:szCs w:val="18"/>
        </w:rPr>
      </w:pPr>
      <w:r w:rsidRPr="000C2F3B">
        <w:rPr>
          <w:i w:val="0"/>
          <w:iCs/>
          <w:szCs w:val="18"/>
        </w:rPr>
        <w:t>The enzymatic activities of free and immobilized laccase were determined by monitoring the oxidation of 2,2’-azino-bis-(3-ethyl-benzthiazoline-6-sulfonic acid) (ABTS) to its cation radical (ABTS</w:t>
      </w:r>
      <w:r w:rsidRPr="000C2F3B">
        <w:rPr>
          <w:i w:val="0"/>
          <w:iCs/>
          <w:szCs w:val="18"/>
          <w:vertAlign w:val="superscript"/>
        </w:rPr>
        <w:t>+</w:t>
      </w:r>
      <w:r w:rsidRPr="000C2F3B">
        <w:rPr>
          <w:i w:val="0"/>
          <w:iCs/>
          <w:szCs w:val="18"/>
        </w:rPr>
        <w:t>) at 420 nm. The molar extinction coefficient of ABTS</w:t>
      </w:r>
      <w:r w:rsidRPr="000C2F3B">
        <w:rPr>
          <w:i w:val="0"/>
          <w:iCs/>
          <w:szCs w:val="18"/>
          <w:vertAlign w:val="superscript"/>
        </w:rPr>
        <w:t>+</w:t>
      </w:r>
      <w:r w:rsidRPr="000C2F3B">
        <w:rPr>
          <w:i w:val="0"/>
          <w:iCs/>
          <w:szCs w:val="18"/>
        </w:rPr>
        <w:t xml:space="preserve"> is 36,000 L</w:t>
      </w:r>
      <w:proofErr w:type="gramStart"/>
      <w:r w:rsidRPr="000C2F3B">
        <w:rPr>
          <w:i w:val="0"/>
          <w:iCs/>
          <w:szCs w:val="18"/>
        </w:rPr>
        <w:t>/(</w:t>
      </w:r>
      <w:proofErr w:type="gramEnd"/>
      <w:r w:rsidRPr="000C2F3B">
        <w:rPr>
          <w:i w:val="0"/>
          <w:iCs/>
          <w:szCs w:val="18"/>
        </w:rPr>
        <w:t xml:space="preserve">mol cm). </w:t>
      </w:r>
    </w:p>
    <w:p w14:paraId="220B45A9" w14:textId="469D3AA9" w:rsidR="003170B9" w:rsidRPr="000C2F3B" w:rsidRDefault="003170B9" w:rsidP="00C72296">
      <w:pPr>
        <w:pStyle w:val="CETBodytextItalic"/>
        <w:rPr>
          <w:i w:val="0"/>
          <w:iCs/>
          <w:sz w:val="16"/>
          <w:szCs w:val="16"/>
        </w:rPr>
      </w:pPr>
      <w:r w:rsidRPr="000C2F3B">
        <w:rPr>
          <w:i w:val="0"/>
          <w:iCs/>
          <w:szCs w:val="18"/>
        </w:rPr>
        <w:t xml:space="preserve">In a typical test, 5 ml of ABTS substrate solution at 5 mM concentration in a 100 mM buffer at a given pH were inserted in a 10 ml tube. The reaction was started by addition of 0.5 ml of laccase solution at given pH and concentration. The reaction was usually carried out in an orbital stirrer (100 rpm) at 37°C. One unit of laccase activity unit was defined as the amount of laccase required to convert 1 </w:t>
      </w:r>
      <w:proofErr w:type="spellStart"/>
      <w:r w:rsidRPr="000C2F3B">
        <w:rPr>
          <w:i w:val="0"/>
          <w:iCs/>
          <w:szCs w:val="18"/>
        </w:rPr>
        <w:t>μmol</w:t>
      </w:r>
      <w:proofErr w:type="spellEnd"/>
      <w:r w:rsidRPr="000C2F3B">
        <w:rPr>
          <w:i w:val="0"/>
          <w:iCs/>
          <w:szCs w:val="18"/>
        </w:rPr>
        <w:t xml:space="preserve"> of ABTS substrate per minute under assay conditions.</w:t>
      </w:r>
    </w:p>
    <w:p w14:paraId="340CFBB0" w14:textId="68F9B8E1" w:rsidR="00C72296" w:rsidRPr="000C2F3B" w:rsidRDefault="008C6CDC" w:rsidP="002F4BD8">
      <w:pPr>
        <w:pStyle w:val="CETheadingx"/>
      </w:pPr>
      <w:r w:rsidRPr="000C2F3B">
        <w:t>Immobilization of laccase on</w:t>
      </w:r>
      <w:r w:rsidR="00C72296" w:rsidRPr="000C2F3B">
        <w:t xml:space="preserve"> chitosan hydrogel</w:t>
      </w:r>
    </w:p>
    <w:p w14:paraId="6038DE58" w14:textId="45E8A151" w:rsidR="008C6CDC" w:rsidRPr="000C2F3B" w:rsidRDefault="008C6CDC" w:rsidP="008C6CDC">
      <w:pPr>
        <w:pStyle w:val="CETBodytextItalic"/>
        <w:rPr>
          <w:i w:val="0"/>
          <w:iCs/>
          <w:sz w:val="16"/>
          <w:szCs w:val="16"/>
        </w:rPr>
      </w:pPr>
      <w:r w:rsidRPr="000C2F3B">
        <w:rPr>
          <w:i w:val="0"/>
          <w:iCs/>
          <w:szCs w:val="18"/>
        </w:rPr>
        <w:t xml:space="preserve">The immobilization of laccase on chitosan hydrogel particles was carried out by adsorption. However, as glutaraldehyde crosslinking was carried out for the synthesis of chitosan hydrogels, partially unreacted glutaraldehyde molecules may have contributed to increase the enzyme immobilization. Consequently, the actual mechanism of the laccase immobilization could be described as adsorption/covalent binding.  In a typical test, 10 mg of laccase were dissolved in 20 ml of Na-phosphate buffer solution. Subsequently, 200 mg of chitosan particles were added to the solution, and kept under gentle stirring (60 rpm) for 24 </w:t>
      </w:r>
      <w:proofErr w:type="spellStart"/>
      <w:r w:rsidRPr="000C2F3B">
        <w:rPr>
          <w:i w:val="0"/>
          <w:iCs/>
          <w:szCs w:val="18"/>
        </w:rPr>
        <w:t>h at</w:t>
      </w:r>
      <w:proofErr w:type="spellEnd"/>
      <w:r w:rsidRPr="000C2F3B">
        <w:rPr>
          <w:i w:val="0"/>
          <w:iCs/>
          <w:szCs w:val="18"/>
        </w:rPr>
        <w:t xml:space="preserve"> 4°C. It has been previously ascertained that 24 h are sufficient for the adsorption equilibrium to be reached. At the end of the adsorption processes, the chitosan particles were separated by filtration under vacuum and washed 3 times with Na-acetate buffer, then dried at room temperature. </w:t>
      </w:r>
    </w:p>
    <w:p w14:paraId="5E3463AE" w14:textId="2F0D4CCE" w:rsidR="00C72296" w:rsidRPr="000C2F3B" w:rsidRDefault="00317290" w:rsidP="002F4BD8">
      <w:pPr>
        <w:pStyle w:val="CETheadingx"/>
      </w:pPr>
      <w:r w:rsidRPr="000C2F3B">
        <w:t>Repeated adsorption cycles</w:t>
      </w:r>
    </w:p>
    <w:p w14:paraId="156D8536" w14:textId="6F915C1D" w:rsidR="00C72296" w:rsidRPr="000C2F3B" w:rsidRDefault="00317290" w:rsidP="00FD6BCB">
      <w:pPr>
        <w:pStyle w:val="CETBodytextItalic"/>
        <w:rPr>
          <w:i w:val="0"/>
          <w:iCs/>
        </w:rPr>
      </w:pPr>
      <w:r w:rsidRPr="000C2F3B">
        <w:rPr>
          <w:i w:val="0"/>
          <w:iCs/>
          <w:sz w:val="20"/>
        </w:rPr>
        <w:t>The reusability of the laccase immobilized on chitosan was investigated by carrying out the degradation tests at 37°C. After each cycle, the enzyme was washed with acetate buffer at the same pH used for the degradation test, and separated by centrifugation (5000 rpm, 10 min), to be subsequently reused.</w:t>
      </w:r>
    </w:p>
    <w:p w14:paraId="79F02718" w14:textId="5631E5B6" w:rsidR="00865A31" w:rsidRPr="000C2F3B" w:rsidRDefault="00865A31" w:rsidP="00865A31">
      <w:pPr>
        <w:pStyle w:val="CETHeading1"/>
        <w:rPr>
          <w:color w:val="000000" w:themeColor="text1"/>
          <w:lang w:val="en-GB"/>
        </w:rPr>
      </w:pPr>
      <w:r w:rsidRPr="000C2F3B">
        <w:rPr>
          <w:color w:val="000000" w:themeColor="text1"/>
          <w:lang w:val="en-GB"/>
        </w:rPr>
        <w:t>Results and Discussion</w:t>
      </w:r>
    </w:p>
    <w:p w14:paraId="49A07007" w14:textId="664856F2" w:rsidR="007200C4" w:rsidRPr="000C2F3B" w:rsidRDefault="00FD7485" w:rsidP="002F4BD8">
      <w:pPr>
        <w:pStyle w:val="CETheadingx"/>
      </w:pPr>
      <w:r w:rsidRPr="000C2F3B">
        <w:t>Magnetic chitosan without laccase</w:t>
      </w:r>
    </w:p>
    <w:p w14:paraId="1AEBB336" w14:textId="77777777" w:rsidR="004E1C42" w:rsidRPr="000C2F3B" w:rsidRDefault="004E1C42" w:rsidP="004E1C42">
      <w:pPr>
        <w:pStyle w:val="CETBodytextItalic"/>
        <w:rPr>
          <w:i w:val="0"/>
          <w:iCs/>
        </w:rPr>
      </w:pPr>
      <w:r w:rsidRPr="000C2F3B">
        <w:rPr>
          <w:i w:val="0"/>
          <w:iCs/>
        </w:rPr>
        <w:t>The experimental activity was aimed to evaluating the potential of magnetic chitosan, with and without laccase, in the removal of three dyes commonly used in the textile industry:</w:t>
      </w:r>
    </w:p>
    <w:p w14:paraId="45C96E9C" w14:textId="77777777" w:rsidR="004E1C42" w:rsidRPr="000C2F3B" w:rsidRDefault="00865A31" w:rsidP="004E1C42">
      <w:pPr>
        <w:pStyle w:val="CETBodytextItalic"/>
        <w:numPr>
          <w:ilvl w:val="3"/>
          <w:numId w:val="29"/>
        </w:numPr>
        <w:ind w:left="426"/>
        <w:rPr>
          <w:i w:val="0"/>
          <w:iCs/>
        </w:rPr>
      </w:pPr>
      <w:r w:rsidRPr="000C2F3B">
        <w:rPr>
          <w:i w:val="0"/>
          <w:iCs/>
        </w:rPr>
        <w:t>Methylene Blue (</w:t>
      </w:r>
      <w:r w:rsidRPr="000C2F3B">
        <w:rPr>
          <w:rFonts w:cs="Arial"/>
          <w:i w:val="0"/>
          <w:iCs/>
          <w:szCs w:val="18"/>
        </w:rPr>
        <w:t xml:space="preserve">MB) is </w:t>
      </w:r>
      <w:r w:rsidRPr="000C2F3B">
        <w:rPr>
          <w:rStyle w:val="Enfasigrassetto"/>
          <w:rFonts w:cs="Arial"/>
          <w:b w:val="0"/>
          <w:bCs w:val="0"/>
          <w:i w:val="0"/>
          <w:iCs/>
          <w:szCs w:val="18"/>
        </w:rPr>
        <w:t xml:space="preserve">a cationic </w:t>
      </w:r>
      <w:r w:rsidRPr="000C2F3B">
        <w:rPr>
          <w:rStyle w:val="Enfasigrassetto"/>
          <w:b w:val="0"/>
          <w:bCs w:val="0"/>
          <w:i w:val="0"/>
          <w:iCs/>
        </w:rPr>
        <w:t>dye</w:t>
      </w:r>
      <w:r w:rsidRPr="000C2F3B">
        <w:rPr>
          <w:rFonts w:ascii="Times New Roman" w:hAnsi="Times New Roman"/>
          <w:i w:val="0"/>
          <w:iCs/>
          <w:sz w:val="27"/>
        </w:rPr>
        <w:t xml:space="preserve">, </w:t>
      </w:r>
      <w:r w:rsidRPr="000C2F3B">
        <w:rPr>
          <w:i w:val="0"/>
          <w:iCs/>
        </w:rPr>
        <w:t>containing a quaternary ammonium structure that remains positively charged.</w:t>
      </w:r>
    </w:p>
    <w:p w14:paraId="36851195" w14:textId="77777777" w:rsidR="004E1C42" w:rsidRPr="000C2F3B" w:rsidRDefault="00FD6BCB" w:rsidP="004E1C42">
      <w:pPr>
        <w:pStyle w:val="CETBodytextItalic"/>
        <w:numPr>
          <w:ilvl w:val="3"/>
          <w:numId w:val="29"/>
        </w:numPr>
        <w:ind w:left="426"/>
        <w:rPr>
          <w:i w:val="0"/>
          <w:iCs/>
        </w:rPr>
      </w:pPr>
      <w:r w:rsidRPr="000C2F3B">
        <w:rPr>
          <w:i w:val="0"/>
          <w:iCs/>
        </w:rPr>
        <w:t>Bromophenol Blue (</w:t>
      </w:r>
      <w:r w:rsidRPr="000C2F3B">
        <w:rPr>
          <w:rFonts w:cs="Arial"/>
          <w:i w:val="0"/>
          <w:iCs/>
          <w:szCs w:val="18"/>
        </w:rPr>
        <w:t xml:space="preserve">BPB) is an </w:t>
      </w:r>
      <w:r w:rsidRPr="000C2F3B">
        <w:rPr>
          <w:rStyle w:val="Enfasigrassetto"/>
          <w:rFonts w:cs="Arial"/>
          <w:b w:val="0"/>
          <w:bCs w:val="0"/>
          <w:i w:val="0"/>
          <w:iCs/>
          <w:szCs w:val="18"/>
        </w:rPr>
        <w:t xml:space="preserve">anionic, </w:t>
      </w:r>
      <w:proofErr w:type="spellStart"/>
      <w:r w:rsidRPr="000C2F3B">
        <w:rPr>
          <w:i w:val="0"/>
          <w:iCs/>
        </w:rPr>
        <w:t>sulfonephthalein</w:t>
      </w:r>
      <w:proofErr w:type="spellEnd"/>
      <w:r w:rsidRPr="000C2F3B">
        <w:rPr>
          <w:i w:val="0"/>
          <w:iCs/>
        </w:rPr>
        <w:t xml:space="preserve"> dye that loses protons and carries a negative charge at neutral–alkaline </w:t>
      </w:r>
      <w:proofErr w:type="spellStart"/>
      <w:r w:rsidRPr="000C2F3B">
        <w:rPr>
          <w:i w:val="0"/>
          <w:iCs/>
        </w:rPr>
        <w:t>pH.</w:t>
      </w:r>
      <w:proofErr w:type="spellEnd"/>
    </w:p>
    <w:p w14:paraId="450CD15E" w14:textId="0165B95F" w:rsidR="00E1174B" w:rsidRPr="000C2F3B" w:rsidRDefault="00FD6BCB" w:rsidP="004E1C42">
      <w:pPr>
        <w:pStyle w:val="CETBodytextItalic"/>
        <w:numPr>
          <w:ilvl w:val="3"/>
          <w:numId w:val="29"/>
        </w:numPr>
        <w:ind w:left="426"/>
        <w:rPr>
          <w:i w:val="0"/>
          <w:iCs/>
        </w:rPr>
      </w:pPr>
      <w:r w:rsidRPr="000C2F3B">
        <w:rPr>
          <w:rFonts w:cs="Arial"/>
          <w:i w:val="0"/>
          <w:iCs/>
          <w:szCs w:val="18"/>
        </w:rPr>
        <w:t>Coomassie Brilliant Blue (CBB) is a</w:t>
      </w:r>
      <w:r w:rsidRPr="000C2F3B">
        <w:rPr>
          <w:rStyle w:val="Enfasigrassetto"/>
          <w:rFonts w:cs="Arial"/>
          <w:b w:val="0"/>
          <w:bCs w:val="0"/>
          <w:i w:val="0"/>
          <w:iCs/>
          <w:szCs w:val="18"/>
        </w:rPr>
        <w:t>nionic dye</w:t>
      </w:r>
      <w:r w:rsidRPr="000C2F3B">
        <w:rPr>
          <w:rFonts w:cs="Arial"/>
          <w:i w:val="0"/>
          <w:iCs/>
          <w:szCs w:val="18"/>
        </w:rPr>
        <w:t xml:space="preserve"> </w:t>
      </w:r>
      <w:r w:rsidRPr="000C2F3B">
        <w:rPr>
          <w:i w:val="0"/>
          <w:iCs/>
        </w:rPr>
        <w:t xml:space="preserve">containing a </w:t>
      </w:r>
      <w:proofErr w:type="gramStart"/>
      <w:r w:rsidRPr="000C2F3B">
        <w:rPr>
          <w:i w:val="0"/>
          <w:iCs/>
        </w:rPr>
        <w:t>sulfonic acid groups</w:t>
      </w:r>
      <w:proofErr w:type="gramEnd"/>
      <w:r w:rsidRPr="000C2F3B">
        <w:rPr>
          <w:i w:val="0"/>
          <w:iCs/>
        </w:rPr>
        <w:t xml:space="preserve"> that are dissociated and negatively charged at normal staining </w:t>
      </w:r>
      <w:proofErr w:type="spellStart"/>
      <w:r w:rsidRPr="000C2F3B">
        <w:rPr>
          <w:i w:val="0"/>
          <w:iCs/>
        </w:rPr>
        <w:t>pH.</w:t>
      </w:r>
      <w:proofErr w:type="spellEnd"/>
    </w:p>
    <w:p w14:paraId="2405CD9F" w14:textId="3BB168C6" w:rsidR="00865A31" w:rsidRPr="000C2F3B" w:rsidRDefault="00865A31" w:rsidP="00865A31">
      <w:pPr>
        <w:pStyle w:val="CETBodytextItalic"/>
        <w:rPr>
          <w:rFonts w:cs="Arial"/>
          <w:i w:val="0"/>
          <w:iCs/>
          <w:szCs w:val="18"/>
          <w:lang w:eastAsia="it-IT"/>
        </w:rPr>
      </w:pPr>
      <w:r w:rsidRPr="000C2F3B">
        <w:rPr>
          <w:rFonts w:cs="Arial"/>
          <w:i w:val="0"/>
          <w:iCs/>
          <w:szCs w:val="18"/>
          <w:lang w:eastAsia="it-IT"/>
        </w:rPr>
        <w:t xml:space="preserve">The adsorption of MB, BPB, and CBB onto </w:t>
      </w:r>
      <w:r w:rsidR="007200C4" w:rsidRPr="000C2F3B">
        <w:rPr>
          <w:rFonts w:cs="Arial"/>
          <w:i w:val="0"/>
          <w:iCs/>
          <w:szCs w:val="18"/>
          <w:lang w:eastAsia="it-IT"/>
        </w:rPr>
        <w:t xml:space="preserve">plain chitosan hydrogel </w:t>
      </w:r>
      <w:r w:rsidRPr="000C2F3B">
        <w:rPr>
          <w:rFonts w:cs="Arial"/>
          <w:i w:val="0"/>
          <w:iCs/>
          <w:szCs w:val="18"/>
          <w:lang w:eastAsia="it-IT"/>
        </w:rPr>
        <w:t>was found to be strongly dependent on the solution pH (Figure 1). Methylene Blue, a cationic dye, exhibited an increase in adsorption capacity with increasing pH, whereas both Bromophenol Blue and Coomassie Brilliant Blue, which are anionic dyes, showed a decrease in adsorption capacity as pH increased.</w:t>
      </w:r>
    </w:p>
    <w:p w14:paraId="5FFD2A8C" w14:textId="77777777" w:rsidR="000C2F3B" w:rsidRPr="000C2F3B" w:rsidRDefault="000C2F3B" w:rsidP="000C2F3B">
      <w:pPr>
        <w:pStyle w:val="CETBodytextItalic"/>
        <w:rPr>
          <w:rFonts w:cs="Arial"/>
          <w:i w:val="0"/>
          <w:iCs/>
          <w:szCs w:val="18"/>
          <w:lang w:eastAsia="it-IT"/>
        </w:rPr>
      </w:pPr>
      <w:r w:rsidRPr="000C2F3B">
        <w:rPr>
          <w:rFonts w:cs="Arial"/>
          <w:i w:val="0"/>
          <w:iCs/>
          <w:szCs w:val="18"/>
          <w:lang w:eastAsia="it-IT"/>
        </w:rPr>
        <w:t>This behaviour can be explained by the surface charge characteristics of chitosan, which contains amine (–NH</w:t>
      </w:r>
      <w:r w:rsidRPr="000C2F3B">
        <w:rPr>
          <w:rFonts w:ascii="Cambria Math" w:hAnsi="Cambria Math" w:cs="Cambria Math"/>
          <w:i w:val="0"/>
          <w:iCs/>
          <w:szCs w:val="18"/>
          <w:lang w:eastAsia="it-IT"/>
        </w:rPr>
        <w:t>₂</w:t>
      </w:r>
      <w:r w:rsidRPr="000C2F3B">
        <w:rPr>
          <w:rFonts w:cs="Arial"/>
          <w:i w:val="0"/>
          <w:iCs/>
          <w:szCs w:val="18"/>
          <w:lang w:eastAsia="it-IT"/>
        </w:rPr>
        <w:t>) and hydroxyl (–OH) functional groups. At low pH, the amine groups are predominantly protonated (–NH</w:t>
      </w:r>
      <w:r w:rsidRPr="000C2F3B">
        <w:rPr>
          <w:rFonts w:ascii="Cambria Math" w:hAnsi="Cambria Math" w:cs="Cambria Math"/>
          <w:i w:val="0"/>
          <w:iCs/>
          <w:szCs w:val="18"/>
          <w:lang w:eastAsia="it-IT"/>
        </w:rPr>
        <w:t>₃⁺</w:t>
      </w:r>
      <w:r w:rsidRPr="000C2F3B">
        <w:rPr>
          <w:rFonts w:cs="Arial"/>
          <w:i w:val="0"/>
          <w:iCs/>
          <w:szCs w:val="18"/>
          <w:lang w:eastAsia="it-IT"/>
        </w:rPr>
        <w:t>), imparting a positive surface charge to chitosan. Under these conditions, adsorption of anionic dyes is favoured due to electrostatic attraction, while adsorption of cationic dyes is hindered by electrostatic repulsion. As the pH increases, the amine groups become deprotonated, reducing the positive charge on the chitosan surface. This shift enhances the adsorption of cationic dyes such as Methylene Blue through stronger electrostatic attraction, while adsorption of anionic dyes is reduced due to increased electrostatic repulsion.</w:t>
      </w:r>
    </w:p>
    <w:p w14:paraId="3625B77E" w14:textId="77777777" w:rsidR="000C2F3B" w:rsidRPr="000C2F3B" w:rsidRDefault="000C2F3B" w:rsidP="00865A31">
      <w:pPr>
        <w:pStyle w:val="CETBodytextItalic"/>
        <w:rPr>
          <w:rFonts w:cs="Arial"/>
          <w:i w:val="0"/>
          <w:iCs/>
          <w:szCs w:val="18"/>
          <w:lang w:eastAsia="it-IT"/>
        </w:rPr>
      </w:pPr>
    </w:p>
    <w:p w14:paraId="07EA2901" w14:textId="77777777" w:rsidR="00E16585" w:rsidRPr="000C2F3B" w:rsidRDefault="00E16585" w:rsidP="00E16585">
      <w:pPr>
        <w:pStyle w:val="CETCaption"/>
        <w:jc w:val="center"/>
        <w:rPr>
          <w:rStyle w:val="CETCaptionCarattere"/>
          <w:i/>
          <w:color w:val="000000" w:themeColor="text1"/>
        </w:rPr>
      </w:pPr>
      <w:r w:rsidRPr="000C2F3B">
        <w:rPr>
          <w:i w:val="0"/>
          <w:iCs/>
          <w:noProof/>
        </w:rPr>
        <w:lastRenderedPageBreak/>
        <w:drawing>
          <wp:inline distT="0" distB="0" distL="0" distR="0" wp14:anchorId="07D37143" wp14:editId="49938F24">
            <wp:extent cx="4150581" cy="2114260"/>
            <wp:effectExtent l="0" t="0" r="2540" b="0"/>
            <wp:docPr id="2085776778" name="Immagine 1" descr="Immagine che contiene linea, testo, diagramm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76778" name="Immagine 1" descr="Immagine che contiene linea, testo, diagramma, schermata&#10;&#10;Il contenuto generato dall'IA potrebbe non essere corretto."/>
                    <pic:cNvPicPr/>
                  </pic:nvPicPr>
                  <pic:blipFill>
                    <a:blip r:embed="rId10"/>
                    <a:stretch>
                      <a:fillRect/>
                    </a:stretch>
                  </pic:blipFill>
                  <pic:spPr>
                    <a:xfrm>
                      <a:off x="0" y="0"/>
                      <a:ext cx="4208635" cy="2143832"/>
                    </a:xfrm>
                    <a:prstGeom prst="rect">
                      <a:avLst/>
                    </a:prstGeom>
                  </pic:spPr>
                </pic:pic>
              </a:graphicData>
            </a:graphic>
          </wp:inline>
        </w:drawing>
      </w:r>
    </w:p>
    <w:p w14:paraId="3D33D086" w14:textId="77777777" w:rsidR="00E16585" w:rsidRPr="000C2F3B" w:rsidRDefault="00E16585" w:rsidP="00E16585">
      <w:pPr>
        <w:pStyle w:val="CETCaption"/>
        <w:jc w:val="center"/>
        <w:rPr>
          <w:rStyle w:val="CETCaptionCarattere"/>
          <w:i/>
          <w:color w:val="000000" w:themeColor="text1"/>
        </w:rPr>
      </w:pPr>
      <w:r w:rsidRPr="000C2F3B">
        <w:rPr>
          <w:rStyle w:val="CETCaptionCarattere"/>
          <w:i/>
          <w:color w:val="000000" w:themeColor="text1"/>
        </w:rPr>
        <w:t>Figure 1: Effect of pH on the adsorption capacity of chitosan and magnetic chitosan</w:t>
      </w:r>
    </w:p>
    <w:p w14:paraId="6BEC408C" w14:textId="77777777" w:rsidR="00865A31" w:rsidRPr="000C2F3B" w:rsidRDefault="00865A31" w:rsidP="00865A31">
      <w:pPr>
        <w:pStyle w:val="CETBodytextItalic"/>
        <w:rPr>
          <w:rFonts w:cs="Arial"/>
          <w:i w:val="0"/>
          <w:iCs/>
          <w:szCs w:val="18"/>
          <w:lang w:eastAsia="it-IT"/>
        </w:rPr>
      </w:pPr>
      <w:r w:rsidRPr="000C2F3B">
        <w:rPr>
          <w:rFonts w:cs="Arial"/>
          <w:i w:val="0"/>
          <w:iCs/>
          <w:szCs w:val="18"/>
          <w:lang w:eastAsia="it-IT"/>
        </w:rPr>
        <w:t>These findings are consistent with previous reports on pH-dependent dye adsorption onto biopolymer adsorbents, highlighting the critical role of electrostatic interactions in the adsorption process.</w:t>
      </w:r>
    </w:p>
    <w:p w14:paraId="67DAF867" w14:textId="4E90ACEB" w:rsidR="00865A31" w:rsidRPr="000C2F3B" w:rsidRDefault="00865A31" w:rsidP="00865A31">
      <w:pPr>
        <w:pStyle w:val="CETBodytextItalic"/>
        <w:rPr>
          <w:color w:val="000000" w:themeColor="text1"/>
        </w:rPr>
      </w:pPr>
      <w:r w:rsidRPr="000C2F3B">
        <w:rPr>
          <w:i w:val="0"/>
          <w:iCs/>
        </w:rPr>
        <w:t xml:space="preserve">When replacing plain chitosan with </w:t>
      </w:r>
      <w:r w:rsidRPr="000C2F3B">
        <w:rPr>
          <w:rStyle w:val="Enfasigrassetto"/>
          <w:rFonts w:cs="Arial"/>
          <w:b w:val="0"/>
          <w:bCs w:val="0"/>
          <w:i w:val="0"/>
          <w:iCs/>
          <w:szCs w:val="18"/>
        </w:rPr>
        <w:t>magnetic chitosan</w:t>
      </w:r>
      <w:r w:rsidRPr="000C2F3B">
        <w:rPr>
          <w:i w:val="0"/>
          <w:iCs/>
        </w:rPr>
        <w:t xml:space="preserve"> (chitosan incorporated with iron oxide nanoparticles) an </w:t>
      </w:r>
      <w:r w:rsidRPr="000C2F3B">
        <w:rPr>
          <w:rStyle w:val="Enfasigrassetto"/>
          <w:rFonts w:cs="Arial"/>
          <w:b w:val="0"/>
          <w:bCs w:val="0"/>
          <w:i w:val="0"/>
          <w:iCs/>
          <w:szCs w:val="18"/>
        </w:rPr>
        <w:t>increase of the adsorption capacity was observed</w:t>
      </w:r>
      <w:r w:rsidRPr="000C2F3B">
        <w:rPr>
          <w:i w:val="0"/>
          <w:iCs/>
        </w:rPr>
        <w:t xml:space="preserve">. This effect can be due to at least two reasons. </w:t>
      </w:r>
      <w:proofErr w:type="gramStart"/>
      <w:r w:rsidRPr="000C2F3B">
        <w:rPr>
          <w:i w:val="0"/>
          <w:iCs/>
        </w:rPr>
        <w:t>First of all</w:t>
      </w:r>
      <w:proofErr w:type="gramEnd"/>
      <w:r w:rsidRPr="000C2F3B">
        <w:rPr>
          <w:i w:val="0"/>
          <w:iCs/>
        </w:rPr>
        <w:t xml:space="preserve">, </w:t>
      </w:r>
      <w:r w:rsidRPr="000C2F3B">
        <w:rPr>
          <w:i w:val="0"/>
          <w:iCs/>
          <w:color w:val="000000" w:themeColor="text1"/>
        </w:rPr>
        <w:t xml:space="preserve">iron oxide nanoparticles introduce </w:t>
      </w:r>
      <w:r w:rsidRPr="000C2F3B">
        <w:rPr>
          <w:rStyle w:val="Enfasigrassetto"/>
          <w:rFonts w:cs="Arial"/>
          <w:b w:val="0"/>
          <w:bCs w:val="0"/>
          <w:i w:val="0"/>
          <w:iCs/>
          <w:color w:val="000000" w:themeColor="text1"/>
          <w:szCs w:val="18"/>
        </w:rPr>
        <w:t>additional surface area and porosity</w:t>
      </w:r>
      <w:r w:rsidRPr="000C2F3B">
        <w:rPr>
          <w:i w:val="0"/>
          <w:iCs/>
          <w:color w:val="000000" w:themeColor="text1"/>
        </w:rPr>
        <w:t xml:space="preserve"> into the chitosan matrix. This provides </w:t>
      </w:r>
      <w:r w:rsidRPr="000C2F3B">
        <w:rPr>
          <w:rStyle w:val="Enfasigrassetto"/>
          <w:rFonts w:cs="Arial"/>
          <w:b w:val="0"/>
          <w:bCs w:val="0"/>
          <w:i w:val="0"/>
          <w:iCs/>
          <w:color w:val="000000" w:themeColor="text1"/>
          <w:szCs w:val="18"/>
        </w:rPr>
        <w:t>more active sites</w:t>
      </w:r>
      <w:r w:rsidRPr="000C2F3B">
        <w:rPr>
          <w:i w:val="0"/>
          <w:iCs/>
          <w:color w:val="000000" w:themeColor="text1"/>
        </w:rPr>
        <w:t xml:space="preserve"> for dye molecules to attach, increasing overall adsorption. In </w:t>
      </w:r>
      <w:r w:rsidR="00283292" w:rsidRPr="000C2F3B">
        <w:rPr>
          <w:i w:val="0"/>
          <w:iCs/>
          <w:color w:val="EE0000"/>
        </w:rPr>
        <w:t>second place</w:t>
      </w:r>
      <w:r w:rsidRPr="000C2F3B">
        <w:rPr>
          <w:i w:val="0"/>
          <w:iCs/>
          <w:color w:val="000000" w:themeColor="text1"/>
        </w:rPr>
        <w:t xml:space="preserve">, </w:t>
      </w:r>
      <w:r w:rsidRPr="000C2F3B">
        <w:rPr>
          <w:i w:val="0"/>
          <w:iCs/>
          <w:color w:val="EE0000"/>
        </w:rPr>
        <w:t xml:space="preserve">iron </w:t>
      </w:r>
      <w:r w:rsidRPr="000C2F3B">
        <w:rPr>
          <w:i w:val="0"/>
          <w:iCs/>
        </w:rPr>
        <w:t xml:space="preserve">oxide can interact with dyes through </w:t>
      </w:r>
      <w:r w:rsidRPr="000C2F3B">
        <w:rPr>
          <w:rStyle w:val="Enfasigrassetto"/>
          <w:rFonts w:cs="Arial"/>
          <w:b w:val="0"/>
          <w:bCs w:val="0"/>
          <w:i w:val="0"/>
          <w:iCs/>
          <w:szCs w:val="18"/>
        </w:rPr>
        <w:t>electrostatic interactions, hydrogen bonding, or coordination bonds</w:t>
      </w:r>
      <w:r w:rsidRPr="000C2F3B">
        <w:rPr>
          <w:i w:val="0"/>
          <w:iCs/>
        </w:rPr>
        <w:t xml:space="preserve">. </w:t>
      </w:r>
    </w:p>
    <w:p w14:paraId="763103A4" w14:textId="3CE72D1F" w:rsidR="00E16585" w:rsidRPr="000C2F3B" w:rsidRDefault="00865A31" w:rsidP="00865A31">
      <w:pPr>
        <w:pStyle w:val="CETBodytextItalic"/>
        <w:rPr>
          <w:rFonts w:cs="Arial"/>
          <w:i w:val="0"/>
          <w:iCs/>
          <w:szCs w:val="18"/>
        </w:rPr>
      </w:pPr>
      <w:r w:rsidRPr="000C2F3B">
        <w:rPr>
          <w:i w:val="0"/>
          <w:iCs/>
        </w:rPr>
        <w:t>For example, c</w:t>
      </w:r>
      <w:r w:rsidRPr="000C2F3B">
        <w:rPr>
          <w:rStyle w:val="Enfasigrassetto"/>
          <w:rFonts w:cs="Arial"/>
          <w:b w:val="0"/>
          <w:bCs w:val="0"/>
          <w:i w:val="0"/>
          <w:iCs/>
          <w:szCs w:val="18"/>
        </w:rPr>
        <w:t>ationic dyes</w:t>
      </w:r>
      <w:r w:rsidRPr="000C2F3B">
        <w:rPr>
          <w:i w:val="0"/>
          <w:iCs/>
        </w:rPr>
        <w:t xml:space="preserve"> (like MB) can interact with negatively charged oxide surfaces at higher pH, and </w:t>
      </w:r>
      <w:r w:rsidRPr="000C2F3B">
        <w:rPr>
          <w:rStyle w:val="Enfasigrassetto"/>
          <w:rFonts w:cs="Arial"/>
          <w:b w:val="0"/>
          <w:bCs w:val="0"/>
          <w:i w:val="0"/>
          <w:iCs/>
          <w:szCs w:val="18"/>
        </w:rPr>
        <w:t>anionic dyes</w:t>
      </w:r>
      <w:r w:rsidRPr="000C2F3B">
        <w:rPr>
          <w:i w:val="0"/>
          <w:iCs/>
        </w:rPr>
        <w:t xml:space="preserve"> (like BPB or CBB) can form </w:t>
      </w:r>
      <w:r w:rsidRPr="000C2F3B">
        <w:rPr>
          <w:rStyle w:val="Enfasigrassetto"/>
          <w:rFonts w:cs="Arial"/>
          <w:b w:val="0"/>
          <w:bCs w:val="0"/>
          <w:i w:val="0"/>
          <w:iCs/>
          <w:szCs w:val="18"/>
        </w:rPr>
        <w:t>complexes or hydrogen bonds</w:t>
      </w:r>
      <w:r w:rsidRPr="000C2F3B">
        <w:rPr>
          <w:i w:val="0"/>
          <w:iCs/>
        </w:rPr>
        <w:t xml:space="preserve"> with surface hydroxyl groups on iron oxide. </w:t>
      </w:r>
      <w:r w:rsidRPr="000C2F3B">
        <w:rPr>
          <w:rFonts w:cs="Arial"/>
          <w:i w:val="0"/>
          <w:iCs/>
          <w:szCs w:val="18"/>
        </w:rPr>
        <w:t xml:space="preserve">These interactions </w:t>
      </w:r>
      <w:r w:rsidRPr="000C2F3B">
        <w:rPr>
          <w:rStyle w:val="Enfasigrassetto"/>
          <w:rFonts w:cs="Arial"/>
          <w:b w:val="0"/>
          <w:bCs w:val="0"/>
          <w:i w:val="0"/>
          <w:iCs/>
          <w:szCs w:val="18"/>
        </w:rPr>
        <w:t>complement</w:t>
      </w:r>
      <w:r w:rsidRPr="000C2F3B">
        <w:rPr>
          <w:rFonts w:cs="Arial"/>
          <w:i w:val="0"/>
          <w:iCs/>
          <w:szCs w:val="18"/>
        </w:rPr>
        <w:t xml:space="preserve"> the adsorption by chitosan’s amine and hydroxyl groups.</w:t>
      </w:r>
    </w:p>
    <w:p w14:paraId="4C1FD6E3" w14:textId="77777777" w:rsidR="00372F44" w:rsidRPr="000C2F3B" w:rsidRDefault="00372F44" w:rsidP="002F4BD8">
      <w:pPr>
        <w:pStyle w:val="CETheadingx"/>
      </w:pPr>
      <w:r w:rsidRPr="000C2F3B">
        <w:t>Magnetic chitosan with laccase</w:t>
      </w:r>
    </w:p>
    <w:p w14:paraId="7C839435" w14:textId="77777777" w:rsidR="00372F44" w:rsidRDefault="00372F44" w:rsidP="00372F44">
      <w:pPr>
        <w:pStyle w:val="CETBodytextItalic"/>
        <w:rPr>
          <w:rFonts w:cs="Arial"/>
          <w:i w:val="0"/>
          <w:iCs/>
          <w:szCs w:val="18"/>
          <w:lang w:eastAsia="it-IT"/>
        </w:rPr>
      </w:pPr>
      <w:r w:rsidRPr="000C2F3B">
        <w:rPr>
          <w:rFonts w:cs="Arial"/>
          <w:i w:val="0"/>
          <w:iCs/>
          <w:szCs w:val="18"/>
          <w:lang w:eastAsia="it-IT"/>
        </w:rPr>
        <w:t>Figure 2 compares the dye removal efficiency of magnetic chitosan in the presence and absence of laccase. The removal of MB increased in the presence of laccase at all investigated pH values. The experimental data indicate that the enzymatic effect is more pronounced under acidic conditions, particularly in the pH range of 5.0–7.0.</w:t>
      </w:r>
    </w:p>
    <w:p w14:paraId="50E8D3B8" w14:textId="77777777" w:rsidR="000C2F3B" w:rsidRPr="000C2F3B" w:rsidRDefault="000C2F3B" w:rsidP="000C2F3B">
      <w:pPr>
        <w:pStyle w:val="CETCaption"/>
        <w:jc w:val="center"/>
        <w:rPr>
          <w:rStyle w:val="CETCaptionCarattere"/>
          <w:i/>
          <w:color w:val="000000" w:themeColor="text1"/>
        </w:rPr>
      </w:pPr>
      <w:r w:rsidRPr="000C2F3B">
        <w:rPr>
          <w:rFonts w:cs="Arial"/>
          <w:noProof/>
          <w:color w:val="EE0000"/>
          <w:szCs w:val="18"/>
        </w:rPr>
        <w:drawing>
          <wp:inline distT="0" distB="0" distL="0" distR="0" wp14:anchorId="52C3179B" wp14:editId="21961BC6">
            <wp:extent cx="3554233" cy="2104145"/>
            <wp:effectExtent l="0" t="0" r="1905" b="4445"/>
            <wp:docPr id="1433968251" name="Immagine 1" descr="Immagine che contiene testo, linea, diagramm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8251" name="Immagine 1" descr="Immagine che contiene testo, linea, diagramma, schermata&#10;&#10;Il contenuto generato dall'IA potrebbe non essere corretto."/>
                    <pic:cNvPicPr/>
                  </pic:nvPicPr>
                  <pic:blipFill>
                    <a:blip r:embed="rId11"/>
                    <a:stretch>
                      <a:fillRect/>
                    </a:stretch>
                  </pic:blipFill>
                  <pic:spPr>
                    <a:xfrm>
                      <a:off x="0" y="0"/>
                      <a:ext cx="3614432" cy="2139784"/>
                    </a:xfrm>
                    <a:prstGeom prst="rect">
                      <a:avLst/>
                    </a:prstGeom>
                  </pic:spPr>
                </pic:pic>
              </a:graphicData>
            </a:graphic>
          </wp:inline>
        </w:drawing>
      </w:r>
      <w:r w:rsidRPr="000C2F3B">
        <w:rPr>
          <w:rStyle w:val="CETCaptionCarattere"/>
          <w:i/>
          <w:color w:val="000000" w:themeColor="text1"/>
        </w:rPr>
        <w:t xml:space="preserve"> </w:t>
      </w:r>
    </w:p>
    <w:p w14:paraId="0F0F231F" w14:textId="77777777" w:rsidR="000C2F3B" w:rsidRPr="000C2F3B" w:rsidRDefault="000C2F3B" w:rsidP="000C2F3B">
      <w:pPr>
        <w:pStyle w:val="CETCaption"/>
        <w:jc w:val="center"/>
        <w:rPr>
          <w:color w:val="000000" w:themeColor="text1"/>
        </w:rPr>
      </w:pPr>
      <w:r w:rsidRPr="000C2F3B">
        <w:rPr>
          <w:rStyle w:val="CETCaptionCarattere"/>
          <w:i/>
          <w:color w:val="000000" w:themeColor="text1"/>
        </w:rPr>
        <w:t>Figure 2: Effect of pH on the adsorption capacity of magnetic chitosan in the presence and in the absence of laccase</w:t>
      </w:r>
    </w:p>
    <w:p w14:paraId="4899D763" w14:textId="77777777" w:rsidR="000C2F3B" w:rsidRPr="000C2F3B" w:rsidRDefault="000C2F3B" w:rsidP="00372F44">
      <w:pPr>
        <w:pStyle w:val="CETBodytextItalic"/>
        <w:rPr>
          <w:rFonts w:cs="Arial"/>
          <w:i w:val="0"/>
          <w:iCs/>
          <w:szCs w:val="18"/>
          <w:lang w:eastAsia="it-IT"/>
        </w:rPr>
      </w:pPr>
    </w:p>
    <w:p w14:paraId="1F870FB7" w14:textId="77777777" w:rsidR="000C2F3B" w:rsidRPr="000C2F3B" w:rsidRDefault="000C2F3B" w:rsidP="000C2F3B">
      <w:pPr>
        <w:pStyle w:val="CETBodytextItalic"/>
        <w:rPr>
          <w:rFonts w:cs="Arial"/>
          <w:i w:val="0"/>
          <w:iCs/>
          <w:szCs w:val="18"/>
          <w:lang w:eastAsia="it-IT"/>
        </w:rPr>
      </w:pPr>
      <w:r w:rsidRPr="000C2F3B">
        <w:rPr>
          <w:rFonts w:cs="Arial"/>
          <w:i w:val="0"/>
          <w:iCs/>
          <w:szCs w:val="18"/>
          <w:lang w:eastAsia="it-IT"/>
        </w:rPr>
        <w:t>A similar trend was observed for BPB, for which the removal capacity also increased in the presence of laccase, with the enhancement being more significant under acidic conditions. Overall, these results confirm that laccase positively contributes to dye removal, especially at lower pH values.</w:t>
      </w:r>
    </w:p>
    <w:p w14:paraId="1B729ECC" w14:textId="77777777" w:rsidR="000C2F3B" w:rsidRPr="000C2F3B" w:rsidRDefault="000C2F3B" w:rsidP="000C2F3B">
      <w:pPr>
        <w:pStyle w:val="CETBodytext"/>
        <w:rPr>
          <w:rFonts w:cs="Arial"/>
          <w:szCs w:val="18"/>
          <w:lang w:val="en-GB" w:eastAsia="it-IT"/>
        </w:rPr>
      </w:pPr>
      <w:proofErr w:type="gramStart"/>
      <w:r w:rsidRPr="000C2F3B">
        <w:rPr>
          <w:rFonts w:cs="Arial"/>
          <w:szCs w:val="18"/>
          <w:lang w:val="en-GB" w:eastAsia="it-IT"/>
        </w:rPr>
        <w:lastRenderedPageBreak/>
        <w:t>In order to</w:t>
      </w:r>
      <w:proofErr w:type="gramEnd"/>
      <w:r w:rsidRPr="000C2F3B">
        <w:rPr>
          <w:rFonts w:cs="Arial"/>
          <w:szCs w:val="18"/>
          <w:lang w:val="en-GB" w:eastAsia="it-IT"/>
        </w:rPr>
        <w:t xml:space="preserve"> explain why the effect of the laccases is more pronounced under acidic conditions, the effect of the pH on the </w:t>
      </w:r>
      <w:r w:rsidRPr="000C2F3B">
        <w:rPr>
          <w:color w:val="000000" w:themeColor="text1"/>
          <w:lang w:val="en-GB"/>
        </w:rPr>
        <w:t xml:space="preserve">catalytic activity of non-immobilized laccase </w:t>
      </w:r>
      <w:r w:rsidRPr="000C2F3B">
        <w:rPr>
          <w:color w:val="EE0000"/>
          <w:lang w:val="en-GB"/>
        </w:rPr>
        <w:t>has been characterized</w:t>
      </w:r>
      <w:r w:rsidRPr="000C2F3B">
        <w:rPr>
          <w:color w:val="000000" w:themeColor="text1"/>
          <w:lang w:val="en-GB"/>
        </w:rPr>
        <w:t xml:space="preserve">. </w:t>
      </w:r>
      <w:r w:rsidRPr="000C2F3B">
        <w:rPr>
          <w:rFonts w:cs="Arial"/>
          <w:szCs w:val="18"/>
          <w:lang w:val="en-GB" w:eastAsia="it-IT"/>
        </w:rPr>
        <w:t xml:space="preserve">The experimental data in Table 1 indicate that the optimal pH of laccase activity is in the acidic range. </w:t>
      </w:r>
    </w:p>
    <w:p w14:paraId="1742BE3F" w14:textId="77777777" w:rsidR="000C2F3B" w:rsidRPr="000C2F3B" w:rsidRDefault="000C2F3B" w:rsidP="000C2F3B">
      <w:pPr>
        <w:pStyle w:val="CETBodytext"/>
        <w:rPr>
          <w:rFonts w:cs="Arial"/>
          <w:szCs w:val="18"/>
          <w:lang w:val="en-GB" w:eastAsia="it-IT"/>
        </w:rPr>
      </w:pPr>
      <w:r w:rsidRPr="000C2F3B">
        <w:rPr>
          <w:rFonts w:cs="Arial"/>
          <w:szCs w:val="18"/>
          <w:lang w:val="en-GB" w:eastAsia="it-IT"/>
        </w:rPr>
        <w:t xml:space="preserve">The adsorption efficiency of the enzyme on the magnetic chitosan </w:t>
      </w:r>
      <w:r w:rsidRPr="000C2F3B">
        <w:rPr>
          <w:rFonts w:cs="Arial"/>
          <w:color w:val="EE0000"/>
          <w:szCs w:val="18"/>
          <w:lang w:val="en-GB" w:eastAsia="it-IT"/>
        </w:rPr>
        <w:t>has also been measured at different values of</w:t>
      </w:r>
      <w:r w:rsidRPr="000C2F3B">
        <w:rPr>
          <w:rFonts w:cs="Arial"/>
          <w:szCs w:val="18"/>
          <w:lang w:val="en-GB" w:eastAsia="it-IT"/>
        </w:rPr>
        <w:t xml:space="preserve"> </w:t>
      </w:r>
      <w:proofErr w:type="spellStart"/>
      <w:r w:rsidRPr="000C2F3B">
        <w:rPr>
          <w:rFonts w:cs="Arial"/>
          <w:szCs w:val="18"/>
          <w:lang w:val="en-GB" w:eastAsia="it-IT"/>
        </w:rPr>
        <w:t>pH.</w:t>
      </w:r>
      <w:proofErr w:type="spellEnd"/>
      <w:r w:rsidRPr="000C2F3B">
        <w:rPr>
          <w:rFonts w:cs="Arial"/>
          <w:szCs w:val="18"/>
          <w:lang w:val="en-GB" w:eastAsia="it-IT"/>
        </w:rPr>
        <w:t xml:space="preserve"> The data in Table 1 show that the immobilization yield was strongly affected by pH, as well, and the maximum amount of immobilized enzyme was obtained under neutral pH values (about 7).</w:t>
      </w:r>
    </w:p>
    <w:p w14:paraId="1C345AAB" w14:textId="7D7EDFC9" w:rsidR="000C2F3B" w:rsidRPr="000C2F3B" w:rsidRDefault="000C2F3B" w:rsidP="000C2F3B">
      <w:pPr>
        <w:pStyle w:val="CETBodytext"/>
        <w:rPr>
          <w:color w:val="000000" w:themeColor="text1"/>
          <w:lang w:val="en-GB"/>
        </w:rPr>
      </w:pPr>
      <w:r w:rsidRPr="000C2F3B">
        <w:rPr>
          <w:rFonts w:cs="Arial"/>
          <w:szCs w:val="18"/>
          <w:lang w:val="en-GB" w:eastAsia="it-IT"/>
        </w:rPr>
        <w:t xml:space="preserve">The improved effect of laccase under acidic pH values (see Figures 1 and 2) can be due to both factors, i.e. the intrinsic </w:t>
      </w:r>
      <w:r w:rsidRPr="000C2F3B">
        <w:rPr>
          <w:color w:val="000000" w:themeColor="text1"/>
          <w:lang w:val="en-GB"/>
        </w:rPr>
        <w:t xml:space="preserve">catalytic activity laccase and the </w:t>
      </w:r>
      <w:r w:rsidRPr="000C2F3B">
        <w:rPr>
          <w:rFonts w:cs="Arial"/>
          <w:szCs w:val="18"/>
          <w:lang w:val="en-GB" w:eastAsia="it-IT"/>
        </w:rPr>
        <w:t xml:space="preserve">adsorption efficiency. However, the results reported in the Table 1 demonstrate that the effect of intrinsic </w:t>
      </w:r>
      <w:r w:rsidRPr="000C2F3B">
        <w:rPr>
          <w:color w:val="000000" w:themeColor="text1"/>
          <w:lang w:val="en-GB"/>
        </w:rPr>
        <w:t>laccase activity is prevailing.</w:t>
      </w:r>
    </w:p>
    <w:p w14:paraId="63D93CFA" w14:textId="77777777" w:rsidR="00E16585" w:rsidRPr="000C2F3B" w:rsidRDefault="00E16585" w:rsidP="00E16585">
      <w:pPr>
        <w:pStyle w:val="CETTabletitle"/>
        <w:rPr>
          <w:color w:val="000000" w:themeColor="text1"/>
        </w:rPr>
      </w:pPr>
      <w:r w:rsidRPr="000C2F3B">
        <w:rPr>
          <w:color w:val="000000" w:themeColor="text1"/>
        </w:rPr>
        <w:t xml:space="preserve">Table 1: Effect of pH on the catalytic activity of </w:t>
      </w:r>
      <w:proofErr w:type="spellStart"/>
      <w:r w:rsidRPr="000C2F3B">
        <w:rPr>
          <w:color w:val="000000" w:themeColor="text1"/>
        </w:rPr>
        <w:t>of</w:t>
      </w:r>
      <w:proofErr w:type="spellEnd"/>
      <w:r w:rsidRPr="000C2F3B">
        <w:rPr>
          <w:color w:val="000000" w:themeColor="text1"/>
        </w:rPr>
        <w:t xml:space="preserve"> non-immobilized laccase and the immobilization yield on magnetic chitosan</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2127"/>
        <w:gridCol w:w="2551"/>
      </w:tblGrid>
      <w:tr w:rsidR="00E16585" w:rsidRPr="000C2F3B" w14:paraId="1C0DC397" w14:textId="77777777" w:rsidTr="00E11939">
        <w:tc>
          <w:tcPr>
            <w:tcW w:w="1134" w:type="dxa"/>
            <w:tcBorders>
              <w:top w:val="single" w:sz="12" w:space="0" w:color="008000"/>
              <w:bottom w:val="single" w:sz="6" w:space="0" w:color="008000"/>
            </w:tcBorders>
            <w:shd w:val="clear" w:color="auto" w:fill="FFFFFF"/>
          </w:tcPr>
          <w:p w14:paraId="20053490" w14:textId="77777777" w:rsidR="00E16585" w:rsidRPr="000C2F3B" w:rsidRDefault="00E16585" w:rsidP="00E11939">
            <w:pPr>
              <w:pStyle w:val="CETBodytext"/>
              <w:jc w:val="center"/>
              <w:rPr>
                <w:rFonts w:cs="Arial"/>
                <w:color w:val="000000" w:themeColor="text1"/>
                <w:szCs w:val="18"/>
                <w:lang w:val="en-GB"/>
              </w:rPr>
            </w:pPr>
            <w:r w:rsidRPr="000C2F3B">
              <w:rPr>
                <w:rFonts w:cs="Arial"/>
                <w:color w:val="000000" w:themeColor="text1"/>
                <w:szCs w:val="18"/>
                <w:lang w:val="en-GB"/>
              </w:rPr>
              <w:t>pH</w:t>
            </w:r>
          </w:p>
        </w:tc>
        <w:tc>
          <w:tcPr>
            <w:tcW w:w="2127" w:type="dxa"/>
            <w:tcBorders>
              <w:top w:val="single" w:sz="12" w:space="0" w:color="008000"/>
              <w:bottom w:val="single" w:sz="6" w:space="0" w:color="008000"/>
            </w:tcBorders>
            <w:shd w:val="clear" w:color="auto" w:fill="FFFFFF"/>
          </w:tcPr>
          <w:p w14:paraId="02BE47D1" w14:textId="77777777" w:rsidR="00E16585" w:rsidRPr="000C2F3B" w:rsidRDefault="00E16585" w:rsidP="00E11939">
            <w:pPr>
              <w:pStyle w:val="CETBodytext"/>
              <w:ind w:right="146"/>
              <w:jc w:val="center"/>
              <w:rPr>
                <w:rFonts w:cs="Arial"/>
                <w:color w:val="000000" w:themeColor="text1"/>
                <w:szCs w:val="18"/>
                <w:lang w:val="en-GB"/>
              </w:rPr>
            </w:pPr>
            <w:r w:rsidRPr="000C2F3B">
              <w:rPr>
                <w:rFonts w:cs="Arial"/>
                <w:color w:val="000000" w:themeColor="text1"/>
                <w:szCs w:val="18"/>
                <w:lang w:val="en-GB"/>
              </w:rPr>
              <w:t>Catalytic activity of non-immobilized laccase (fraction of max. activity)</w:t>
            </w:r>
          </w:p>
        </w:tc>
        <w:tc>
          <w:tcPr>
            <w:tcW w:w="2551" w:type="dxa"/>
            <w:tcBorders>
              <w:top w:val="single" w:sz="12" w:space="0" w:color="008000"/>
              <w:bottom w:val="single" w:sz="6" w:space="0" w:color="008000"/>
            </w:tcBorders>
            <w:shd w:val="clear" w:color="auto" w:fill="FFFFFF"/>
          </w:tcPr>
          <w:p w14:paraId="58D5C5B0" w14:textId="77777777" w:rsidR="00E16585" w:rsidRPr="000C2F3B" w:rsidRDefault="00E16585" w:rsidP="00E11939">
            <w:pPr>
              <w:pStyle w:val="CETBodytext"/>
              <w:ind w:right="285"/>
              <w:jc w:val="center"/>
              <w:rPr>
                <w:rFonts w:cs="Arial"/>
                <w:color w:val="000000" w:themeColor="text1"/>
                <w:szCs w:val="18"/>
                <w:lang w:val="en-GB"/>
              </w:rPr>
            </w:pPr>
            <w:r w:rsidRPr="000C2F3B">
              <w:rPr>
                <w:rFonts w:cs="Arial"/>
                <w:color w:val="000000" w:themeColor="text1"/>
                <w:szCs w:val="18"/>
                <w:lang w:val="en-GB"/>
              </w:rPr>
              <w:t>Immobilization yield on magnetic chitosan (%)</w:t>
            </w:r>
          </w:p>
        </w:tc>
      </w:tr>
      <w:tr w:rsidR="00E16585" w:rsidRPr="000C2F3B" w14:paraId="70C056FC" w14:textId="77777777" w:rsidTr="00E11939">
        <w:tc>
          <w:tcPr>
            <w:tcW w:w="1134" w:type="dxa"/>
            <w:shd w:val="clear" w:color="auto" w:fill="FFFFFF"/>
          </w:tcPr>
          <w:p w14:paraId="57152962" w14:textId="77777777" w:rsidR="00E16585" w:rsidRPr="000C2F3B" w:rsidRDefault="00E16585" w:rsidP="00E11939">
            <w:pPr>
              <w:pStyle w:val="CETBodytext"/>
              <w:jc w:val="center"/>
              <w:rPr>
                <w:rFonts w:cs="Arial"/>
                <w:color w:val="000000" w:themeColor="text1"/>
                <w:szCs w:val="18"/>
                <w:lang w:val="en-GB"/>
              </w:rPr>
            </w:pPr>
            <w:r w:rsidRPr="000C2F3B">
              <w:rPr>
                <w:rFonts w:cs="Arial"/>
                <w:color w:val="000000" w:themeColor="text1"/>
                <w:szCs w:val="18"/>
                <w:lang w:val="en-GB"/>
              </w:rPr>
              <w:t>3</w:t>
            </w:r>
          </w:p>
        </w:tc>
        <w:tc>
          <w:tcPr>
            <w:tcW w:w="2127" w:type="dxa"/>
            <w:shd w:val="clear" w:color="auto" w:fill="FFFFFF"/>
            <w:vAlign w:val="bottom"/>
          </w:tcPr>
          <w:p w14:paraId="61E170E9" w14:textId="77777777" w:rsidR="00E16585" w:rsidRPr="000C2F3B" w:rsidRDefault="00E16585" w:rsidP="00E11939">
            <w:pPr>
              <w:pStyle w:val="CETBodytext"/>
              <w:jc w:val="center"/>
              <w:rPr>
                <w:rFonts w:cs="Arial"/>
                <w:color w:val="000000" w:themeColor="text1"/>
                <w:szCs w:val="18"/>
                <w:lang w:val="en-GB"/>
              </w:rPr>
            </w:pPr>
            <w:r w:rsidRPr="000C2F3B">
              <w:rPr>
                <w:rFonts w:cs="Arial"/>
                <w:color w:val="000000"/>
                <w:szCs w:val="18"/>
                <w:lang w:val="en-GB"/>
              </w:rPr>
              <w:t>0,95</w:t>
            </w:r>
          </w:p>
        </w:tc>
        <w:tc>
          <w:tcPr>
            <w:tcW w:w="2551" w:type="dxa"/>
            <w:shd w:val="clear" w:color="auto" w:fill="FFFFFF"/>
          </w:tcPr>
          <w:p w14:paraId="20B59275" w14:textId="77777777" w:rsidR="00E16585" w:rsidRPr="000C2F3B" w:rsidRDefault="00E16585" w:rsidP="00E11939">
            <w:pPr>
              <w:pStyle w:val="CETBodytext"/>
              <w:ind w:right="285"/>
              <w:jc w:val="center"/>
              <w:rPr>
                <w:rFonts w:cs="Arial"/>
                <w:color w:val="000000" w:themeColor="text1"/>
                <w:szCs w:val="18"/>
                <w:lang w:val="en-GB"/>
              </w:rPr>
            </w:pPr>
            <w:r w:rsidRPr="000C2F3B">
              <w:rPr>
                <w:rFonts w:cs="Arial"/>
                <w:color w:val="000000" w:themeColor="text1"/>
                <w:szCs w:val="18"/>
                <w:lang w:val="en-GB"/>
              </w:rPr>
              <w:t>25</w:t>
            </w:r>
          </w:p>
        </w:tc>
      </w:tr>
      <w:tr w:rsidR="00E16585" w:rsidRPr="000C2F3B" w14:paraId="1D3AD045" w14:textId="77777777" w:rsidTr="00E11939">
        <w:tc>
          <w:tcPr>
            <w:tcW w:w="1134" w:type="dxa"/>
            <w:shd w:val="clear" w:color="auto" w:fill="FFFFFF"/>
          </w:tcPr>
          <w:p w14:paraId="1DD60280" w14:textId="77777777" w:rsidR="00E16585" w:rsidRPr="000C2F3B" w:rsidRDefault="00E16585" w:rsidP="00E11939">
            <w:pPr>
              <w:pStyle w:val="CETBodytext"/>
              <w:jc w:val="center"/>
              <w:rPr>
                <w:rFonts w:cs="Arial"/>
                <w:color w:val="000000" w:themeColor="text1"/>
                <w:szCs w:val="18"/>
                <w:lang w:val="en-GB"/>
              </w:rPr>
            </w:pPr>
            <w:r w:rsidRPr="000C2F3B">
              <w:rPr>
                <w:rFonts w:cs="Arial"/>
                <w:color w:val="000000" w:themeColor="text1"/>
                <w:szCs w:val="18"/>
                <w:lang w:val="en-GB"/>
              </w:rPr>
              <w:t>4</w:t>
            </w:r>
          </w:p>
        </w:tc>
        <w:tc>
          <w:tcPr>
            <w:tcW w:w="2127" w:type="dxa"/>
            <w:shd w:val="clear" w:color="auto" w:fill="FFFFFF"/>
            <w:vAlign w:val="bottom"/>
          </w:tcPr>
          <w:p w14:paraId="362AB334" w14:textId="77777777" w:rsidR="00E16585" w:rsidRPr="000C2F3B" w:rsidRDefault="00E16585" w:rsidP="00E11939">
            <w:pPr>
              <w:pStyle w:val="CETBodytext"/>
              <w:jc w:val="center"/>
              <w:rPr>
                <w:rFonts w:cs="Arial"/>
                <w:color w:val="000000" w:themeColor="text1"/>
                <w:szCs w:val="18"/>
                <w:lang w:val="en-GB"/>
              </w:rPr>
            </w:pPr>
            <w:r w:rsidRPr="000C2F3B">
              <w:rPr>
                <w:rFonts w:cs="Arial"/>
                <w:color w:val="000000"/>
                <w:szCs w:val="18"/>
                <w:lang w:val="en-GB"/>
              </w:rPr>
              <w:t>1</w:t>
            </w:r>
          </w:p>
        </w:tc>
        <w:tc>
          <w:tcPr>
            <w:tcW w:w="2551" w:type="dxa"/>
            <w:shd w:val="clear" w:color="auto" w:fill="FFFFFF"/>
          </w:tcPr>
          <w:p w14:paraId="1F29AF67" w14:textId="77777777" w:rsidR="00E16585" w:rsidRPr="000C2F3B" w:rsidRDefault="00E16585" w:rsidP="00E11939">
            <w:pPr>
              <w:pStyle w:val="CETBodytext"/>
              <w:ind w:right="285"/>
              <w:jc w:val="center"/>
              <w:rPr>
                <w:rFonts w:cs="Arial"/>
                <w:color w:val="000000" w:themeColor="text1"/>
                <w:szCs w:val="18"/>
                <w:lang w:val="en-GB"/>
              </w:rPr>
            </w:pPr>
            <w:r w:rsidRPr="000C2F3B">
              <w:rPr>
                <w:rFonts w:cs="Arial"/>
                <w:color w:val="000000" w:themeColor="text1"/>
                <w:szCs w:val="18"/>
                <w:lang w:val="en-GB"/>
              </w:rPr>
              <w:t>29</w:t>
            </w:r>
          </w:p>
        </w:tc>
      </w:tr>
      <w:tr w:rsidR="00E16585" w:rsidRPr="000C2F3B" w14:paraId="60BCF37C" w14:textId="77777777" w:rsidTr="00E11939">
        <w:tc>
          <w:tcPr>
            <w:tcW w:w="1134" w:type="dxa"/>
            <w:shd w:val="clear" w:color="auto" w:fill="FFFFFF"/>
          </w:tcPr>
          <w:p w14:paraId="7454B656" w14:textId="77777777" w:rsidR="00E16585" w:rsidRPr="000C2F3B" w:rsidRDefault="00E16585" w:rsidP="00E11939">
            <w:pPr>
              <w:pStyle w:val="CETBodytext"/>
              <w:jc w:val="center"/>
              <w:rPr>
                <w:rFonts w:cs="Arial"/>
                <w:color w:val="000000" w:themeColor="text1"/>
                <w:szCs w:val="18"/>
                <w:lang w:val="en-GB"/>
              </w:rPr>
            </w:pPr>
            <w:r w:rsidRPr="000C2F3B">
              <w:rPr>
                <w:rFonts w:cs="Arial"/>
                <w:color w:val="000000" w:themeColor="text1"/>
                <w:szCs w:val="18"/>
                <w:lang w:val="en-GB"/>
              </w:rPr>
              <w:t>5</w:t>
            </w:r>
          </w:p>
        </w:tc>
        <w:tc>
          <w:tcPr>
            <w:tcW w:w="2127" w:type="dxa"/>
            <w:shd w:val="clear" w:color="auto" w:fill="FFFFFF"/>
            <w:vAlign w:val="bottom"/>
          </w:tcPr>
          <w:p w14:paraId="70E4082F" w14:textId="77777777" w:rsidR="00E16585" w:rsidRPr="000C2F3B" w:rsidRDefault="00E16585" w:rsidP="00E11939">
            <w:pPr>
              <w:pStyle w:val="CETBodytext"/>
              <w:jc w:val="center"/>
              <w:rPr>
                <w:rFonts w:cs="Arial"/>
                <w:color w:val="000000" w:themeColor="text1"/>
                <w:szCs w:val="18"/>
                <w:lang w:val="en-GB"/>
              </w:rPr>
            </w:pPr>
            <w:r w:rsidRPr="000C2F3B">
              <w:rPr>
                <w:rFonts w:cs="Arial"/>
                <w:color w:val="000000"/>
                <w:szCs w:val="18"/>
                <w:lang w:val="en-GB"/>
              </w:rPr>
              <w:t>0,92</w:t>
            </w:r>
          </w:p>
        </w:tc>
        <w:tc>
          <w:tcPr>
            <w:tcW w:w="2551" w:type="dxa"/>
            <w:shd w:val="clear" w:color="auto" w:fill="FFFFFF"/>
          </w:tcPr>
          <w:p w14:paraId="771AF885" w14:textId="77777777" w:rsidR="00E16585" w:rsidRPr="000C2F3B" w:rsidRDefault="00E16585" w:rsidP="00E11939">
            <w:pPr>
              <w:pStyle w:val="CETBodytext"/>
              <w:ind w:right="285"/>
              <w:jc w:val="center"/>
              <w:rPr>
                <w:rFonts w:cs="Arial"/>
                <w:color w:val="000000" w:themeColor="text1"/>
                <w:szCs w:val="18"/>
                <w:lang w:val="en-GB"/>
              </w:rPr>
            </w:pPr>
            <w:r w:rsidRPr="000C2F3B">
              <w:rPr>
                <w:rFonts w:cs="Arial"/>
                <w:color w:val="000000" w:themeColor="text1"/>
                <w:szCs w:val="18"/>
                <w:lang w:val="en-GB"/>
              </w:rPr>
              <w:t>42</w:t>
            </w:r>
          </w:p>
        </w:tc>
      </w:tr>
      <w:tr w:rsidR="00E16585" w:rsidRPr="000C2F3B" w14:paraId="231CC4C3" w14:textId="77777777" w:rsidTr="00E11939">
        <w:tc>
          <w:tcPr>
            <w:tcW w:w="1134" w:type="dxa"/>
            <w:shd w:val="clear" w:color="auto" w:fill="FFFFFF"/>
          </w:tcPr>
          <w:p w14:paraId="4BD5CEE9" w14:textId="77777777" w:rsidR="00E16585" w:rsidRPr="000C2F3B" w:rsidRDefault="00E16585" w:rsidP="00E11939">
            <w:pPr>
              <w:pStyle w:val="CETBodytext"/>
              <w:jc w:val="center"/>
              <w:rPr>
                <w:rFonts w:cs="Arial"/>
                <w:color w:val="000000" w:themeColor="text1"/>
                <w:szCs w:val="18"/>
                <w:lang w:val="en-GB"/>
              </w:rPr>
            </w:pPr>
            <w:r w:rsidRPr="000C2F3B">
              <w:rPr>
                <w:rFonts w:cs="Arial"/>
                <w:color w:val="000000" w:themeColor="text1"/>
                <w:szCs w:val="18"/>
                <w:lang w:val="en-GB"/>
              </w:rPr>
              <w:t>6</w:t>
            </w:r>
          </w:p>
        </w:tc>
        <w:tc>
          <w:tcPr>
            <w:tcW w:w="2127" w:type="dxa"/>
            <w:shd w:val="clear" w:color="auto" w:fill="FFFFFF"/>
            <w:vAlign w:val="bottom"/>
          </w:tcPr>
          <w:p w14:paraId="646FABF1" w14:textId="77777777" w:rsidR="00E16585" w:rsidRPr="000C2F3B" w:rsidRDefault="00E16585" w:rsidP="00E11939">
            <w:pPr>
              <w:pStyle w:val="CETBodytext"/>
              <w:jc w:val="center"/>
              <w:rPr>
                <w:rFonts w:cs="Arial"/>
                <w:color w:val="000000" w:themeColor="text1"/>
                <w:szCs w:val="18"/>
                <w:lang w:val="en-GB"/>
              </w:rPr>
            </w:pPr>
            <w:r w:rsidRPr="000C2F3B">
              <w:rPr>
                <w:rFonts w:cs="Arial"/>
                <w:color w:val="000000"/>
                <w:szCs w:val="18"/>
                <w:lang w:val="en-GB"/>
              </w:rPr>
              <w:t>0,79</w:t>
            </w:r>
          </w:p>
        </w:tc>
        <w:tc>
          <w:tcPr>
            <w:tcW w:w="2551" w:type="dxa"/>
            <w:shd w:val="clear" w:color="auto" w:fill="FFFFFF"/>
          </w:tcPr>
          <w:p w14:paraId="2B241A96" w14:textId="77777777" w:rsidR="00E16585" w:rsidRPr="000C2F3B" w:rsidRDefault="00E16585" w:rsidP="00E11939">
            <w:pPr>
              <w:pStyle w:val="CETBodytext"/>
              <w:ind w:right="285"/>
              <w:jc w:val="center"/>
              <w:rPr>
                <w:rFonts w:cs="Arial"/>
                <w:color w:val="000000" w:themeColor="text1"/>
                <w:szCs w:val="18"/>
                <w:lang w:val="en-GB"/>
              </w:rPr>
            </w:pPr>
            <w:r w:rsidRPr="000C2F3B">
              <w:rPr>
                <w:rFonts w:cs="Arial"/>
                <w:color w:val="000000" w:themeColor="text1"/>
                <w:szCs w:val="18"/>
                <w:lang w:val="en-GB"/>
              </w:rPr>
              <w:t>65</w:t>
            </w:r>
          </w:p>
        </w:tc>
      </w:tr>
      <w:tr w:rsidR="00E16585" w:rsidRPr="000C2F3B" w14:paraId="408CC258" w14:textId="77777777" w:rsidTr="00E11939">
        <w:tc>
          <w:tcPr>
            <w:tcW w:w="1134" w:type="dxa"/>
            <w:shd w:val="clear" w:color="auto" w:fill="FFFFFF"/>
          </w:tcPr>
          <w:p w14:paraId="21B51F45" w14:textId="77777777" w:rsidR="00E16585" w:rsidRPr="000C2F3B" w:rsidRDefault="00E16585" w:rsidP="00E11939">
            <w:pPr>
              <w:pStyle w:val="CETBodytext"/>
              <w:jc w:val="center"/>
              <w:rPr>
                <w:rFonts w:cs="Arial"/>
                <w:color w:val="000000" w:themeColor="text1"/>
                <w:szCs w:val="18"/>
                <w:lang w:val="en-GB"/>
              </w:rPr>
            </w:pPr>
            <w:r w:rsidRPr="000C2F3B">
              <w:rPr>
                <w:rFonts w:cs="Arial"/>
                <w:color w:val="000000" w:themeColor="text1"/>
                <w:szCs w:val="18"/>
                <w:lang w:val="en-GB"/>
              </w:rPr>
              <w:t>7</w:t>
            </w:r>
          </w:p>
        </w:tc>
        <w:tc>
          <w:tcPr>
            <w:tcW w:w="2127" w:type="dxa"/>
            <w:shd w:val="clear" w:color="auto" w:fill="FFFFFF"/>
            <w:vAlign w:val="bottom"/>
          </w:tcPr>
          <w:p w14:paraId="3C7D56E9" w14:textId="77777777" w:rsidR="00E16585" w:rsidRPr="000C2F3B" w:rsidRDefault="00E16585" w:rsidP="00E11939">
            <w:pPr>
              <w:pStyle w:val="CETBodytext"/>
              <w:jc w:val="center"/>
              <w:rPr>
                <w:rFonts w:cs="Arial"/>
                <w:color w:val="000000" w:themeColor="text1"/>
                <w:szCs w:val="18"/>
                <w:lang w:val="en-GB"/>
              </w:rPr>
            </w:pPr>
            <w:r w:rsidRPr="000C2F3B">
              <w:rPr>
                <w:rFonts w:cs="Arial"/>
                <w:color w:val="000000"/>
                <w:szCs w:val="18"/>
                <w:lang w:val="en-GB"/>
              </w:rPr>
              <w:t>0,75</w:t>
            </w:r>
          </w:p>
        </w:tc>
        <w:tc>
          <w:tcPr>
            <w:tcW w:w="2551" w:type="dxa"/>
            <w:shd w:val="clear" w:color="auto" w:fill="FFFFFF"/>
          </w:tcPr>
          <w:p w14:paraId="2F7BEF01" w14:textId="77777777" w:rsidR="00E16585" w:rsidRPr="000C2F3B" w:rsidRDefault="00E16585" w:rsidP="00E11939">
            <w:pPr>
              <w:pStyle w:val="CETBodytext"/>
              <w:ind w:right="285"/>
              <w:jc w:val="center"/>
              <w:rPr>
                <w:rFonts w:cs="Arial"/>
                <w:color w:val="000000" w:themeColor="text1"/>
                <w:szCs w:val="18"/>
                <w:lang w:val="en-GB"/>
              </w:rPr>
            </w:pPr>
            <w:r w:rsidRPr="000C2F3B">
              <w:rPr>
                <w:rFonts w:cs="Arial"/>
                <w:color w:val="000000" w:themeColor="text1"/>
                <w:szCs w:val="18"/>
                <w:lang w:val="en-GB"/>
              </w:rPr>
              <w:t>78</w:t>
            </w:r>
          </w:p>
        </w:tc>
      </w:tr>
      <w:tr w:rsidR="00E16585" w:rsidRPr="000C2F3B" w14:paraId="09695E21" w14:textId="77777777" w:rsidTr="00E11939">
        <w:tc>
          <w:tcPr>
            <w:tcW w:w="1134" w:type="dxa"/>
            <w:shd w:val="clear" w:color="auto" w:fill="FFFFFF"/>
          </w:tcPr>
          <w:p w14:paraId="730880A8" w14:textId="77777777" w:rsidR="00E16585" w:rsidRPr="000C2F3B" w:rsidRDefault="00E16585" w:rsidP="00E11939">
            <w:pPr>
              <w:pStyle w:val="CETBodytext"/>
              <w:jc w:val="center"/>
              <w:rPr>
                <w:rFonts w:cs="Arial"/>
                <w:color w:val="000000" w:themeColor="text1"/>
                <w:szCs w:val="18"/>
                <w:lang w:val="en-GB"/>
              </w:rPr>
            </w:pPr>
            <w:r w:rsidRPr="000C2F3B">
              <w:rPr>
                <w:rFonts w:cs="Arial"/>
                <w:color w:val="000000" w:themeColor="text1"/>
                <w:szCs w:val="18"/>
                <w:lang w:val="en-GB"/>
              </w:rPr>
              <w:t>8</w:t>
            </w:r>
          </w:p>
        </w:tc>
        <w:tc>
          <w:tcPr>
            <w:tcW w:w="2127" w:type="dxa"/>
            <w:shd w:val="clear" w:color="auto" w:fill="FFFFFF"/>
            <w:vAlign w:val="bottom"/>
          </w:tcPr>
          <w:p w14:paraId="283CB34E" w14:textId="77777777" w:rsidR="00E16585" w:rsidRPr="000C2F3B" w:rsidRDefault="00E16585" w:rsidP="00E11939">
            <w:pPr>
              <w:pStyle w:val="CETBodytext"/>
              <w:jc w:val="center"/>
              <w:rPr>
                <w:rFonts w:cs="Arial"/>
                <w:color w:val="000000" w:themeColor="text1"/>
                <w:szCs w:val="18"/>
                <w:lang w:val="en-GB"/>
              </w:rPr>
            </w:pPr>
            <w:r w:rsidRPr="000C2F3B">
              <w:rPr>
                <w:rFonts w:cs="Arial"/>
                <w:color w:val="000000"/>
                <w:szCs w:val="18"/>
                <w:lang w:val="en-GB"/>
              </w:rPr>
              <w:t>0,68</w:t>
            </w:r>
          </w:p>
        </w:tc>
        <w:tc>
          <w:tcPr>
            <w:tcW w:w="2551" w:type="dxa"/>
            <w:shd w:val="clear" w:color="auto" w:fill="FFFFFF"/>
          </w:tcPr>
          <w:p w14:paraId="3BB77DFE" w14:textId="77777777" w:rsidR="00E16585" w:rsidRPr="000C2F3B" w:rsidRDefault="00E16585" w:rsidP="00E11939">
            <w:pPr>
              <w:pStyle w:val="CETBodytext"/>
              <w:ind w:right="285"/>
              <w:jc w:val="center"/>
              <w:rPr>
                <w:rFonts w:cs="Arial"/>
                <w:color w:val="000000" w:themeColor="text1"/>
                <w:szCs w:val="18"/>
                <w:lang w:val="en-GB"/>
              </w:rPr>
            </w:pPr>
            <w:r w:rsidRPr="000C2F3B">
              <w:rPr>
                <w:rFonts w:cs="Arial"/>
                <w:color w:val="000000" w:themeColor="text1"/>
                <w:szCs w:val="18"/>
                <w:lang w:val="en-GB"/>
              </w:rPr>
              <w:t>71</w:t>
            </w:r>
          </w:p>
        </w:tc>
      </w:tr>
      <w:tr w:rsidR="00E16585" w:rsidRPr="000C2F3B" w14:paraId="283D7F9E" w14:textId="77777777" w:rsidTr="00E11939">
        <w:tc>
          <w:tcPr>
            <w:tcW w:w="1134" w:type="dxa"/>
            <w:shd w:val="clear" w:color="auto" w:fill="FFFFFF"/>
          </w:tcPr>
          <w:p w14:paraId="2A4CDE33" w14:textId="77777777" w:rsidR="00E16585" w:rsidRPr="000C2F3B" w:rsidRDefault="00E16585" w:rsidP="00E11939">
            <w:pPr>
              <w:pStyle w:val="CETBodytext"/>
              <w:ind w:right="-1"/>
              <w:jc w:val="center"/>
              <w:rPr>
                <w:rFonts w:cs="Arial"/>
                <w:color w:val="000000" w:themeColor="text1"/>
                <w:szCs w:val="18"/>
                <w:lang w:val="en-GB"/>
              </w:rPr>
            </w:pPr>
            <w:r w:rsidRPr="000C2F3B">
              <w:rPr>
                <w:rFonts w:cs="Arial"/>
                <w:color w:val="000000" w:themeColor="text1"/>
                <w:szCs w:val="18"/>
                <w:lang w:val="en-GB"/>
              </w:rPr>
              <w:t>9</w:t>
            </w:r>
          </w:p>
        </w:tc>
        <w:tc>
          <w:tcPr>
            <w:tcW w:w="2127" w:type="dxa"/>
            <w:shd w:val="clear" w:color="auto" w:fill="FFFFFF"/>
            <w:vAlign w:val="bottom"/>
          </w:tcPr>
          <w:p w14:paraId="61F50592" w14:textId="77777777" w:rsidR="00E16585" w:rsidRPr="000C2F3B" w:rsidRDefault="00E16585" w:rsidP="00E11939">
            <w:pPr>
              <w:pStyle w:val="CETBodytext"/>
              <w:ind w:right="-1"/>
              <w:jc w:val="center"/>
              <w:rPr>
                <w:rFonts w:cs="Arial"/>
                <w:color w:val="000000" w:themeColor="text1"/>
                <w:szCs w:val="18"/>
                <w:lang w:val="en-GB"/>
              </w:rPr>
            </w:pPr>
            <w:r w:rsidRPr="000C2F3B">
              <w:rPr>
                <w:rFonts w:cs="Arial"/>
                <w:color w:val="000000"/>
                <w:szCs w:val="18"/>
                <w:lang w:val="en-GB"/>
              </w:rPr>
              <w:t>0,57</w:t>
            </w:r>
          </w:p>
        </w:tc>
        <w:tc>
          <w:tcPr>
            <w:tcW w:w="2551" w:type="dxa"/>
            <w:shd w:val="clear" w:color="auto" w:fill="FFFFFF"/>
          </w:tcPr>
          <w:p w14:paraId="0FE390FA" w14:textId="77777777" w:rsidR="00E16585" w:rsidRPr="000C2F3B" w:rsidRDefault="00E16585" w:rsidP="00E11939">
            <w:pPr>
              <w:pStyle w:val="CETBodytext"/>
              <w:ind w:right="285"/>
              <w:jc w:val="center"/>
              <w:rPr>
                <w:rFonts w:cs="Arial"/>
                <w:color w:val="000000" w:themeColor="text1"/>
                <w:szCs w:val="18"/>
                <w:lang w:val="en-GB"/>
              </w:rPr>
            </w:pPr>
            <w:r w:rsidRPr="000C2F3B">
              <w:rPr>
                <w:rFonts w:cs="Arial"/>
                <w:color w:val="000000" w:themeColor="text1"/>
                <w:szCs w:val="18"/>
                <w:lang w:val="en-GB"/>
              </w:rPr>
              <w:t>44</w:t>
            </w:r>
          </w:p>
        </w:tc>
      </w:tr>
    </w:tbl>
    <w:p w14:paraId="36D8D122" w14:textId="77777777" w:rsidR="000A093D" w:rsidRPr="000C2F3B" w:rsidRDefault="000A093D" w:rsidP="002F4BD8">
      <w:pPr>
        <w:pStyle w:val="CETheadingx"/>
      </w:pPr>
      <w:r w:rsidRPr="000C2F3B">
        <w:t>Long-term stability of magnetic chitosan with laccase</w:t>
      </w:r>
    </w:p>
    <w:p w14:paraId="1AEFC463" w14:textId="77777777" w:rsidR="002E4E03" w:rsidRDefault="000A093D" w:rsidP="000A093D">
      <w:pPr>
        <w:pStyle w:val="CETBodytext"/>
        <w:rPr>
          <w:rFonts w:cs="Arial"/>
          <w:szCs w:val="18"/>
          <w:lang w:val="en-GB" w:eastAsia="it-IT"/>
        </w:rPr>
      </w:pPr>
      <w:r w:rsidRPr="000C2F3B">
        <w:rPr>
          <w:rFonts w:cs="Arial"/>
          <w:szCs w:val="18"/>
          <w:lang w:val="en-GB" w:eastAsia="it-IT"/>
        </w:rPr>
        <w:t xml:space="preserve">An important aspect to evaluate the feasibility of the dye-removal application is the possibility of multiple </w:t>
      </w:r>
      <w:proofErr w:type="gramStart"/>
      <w:r w:rsidRPr="000C2F3B">
        <w:rPr>
          <w:rFonts w:cs="Arial"/>
          <w:szCs w:val="18"/>
          <w:lang w:val="en-GB" w:eastAsia="it-IT"/>
        </w:rPr>
        <w:t>reuse</w:t>
      </w:r>
      <w:proofErr w:type="gramEnd"/>
      <w:r w:rsidRPr="000C2F3B">
        <w:rPr>
          <w:rFonts w:cs="Arial"/>
          <w:szCs w:val="18"/>
          <w:lang w:val="en-GB" w:eastAsia="it-IT"/>
        </w:rPr>
        <w:t xml:space="preserve"> of the catalyst. As a matter of facts, the repeated use of the enzyme is a bottleneck still limiting the large-scale application of the laccase. In this view, we carried out multiple cycles of the dye degradation using magnetic chitosan with immobilized laccase, as shown in Figure </w:t>
      </w:r>
      <w:r w:rsidRPr="000C2F3B">
        <w:rPr>
          <w:rFonts w:cs="Arial"/>
          <w:color w:val="0772B5"/>
          <w:szCs w:val="18"/>
          <w:lang w:val="en-GB" w:eastAsia="it-IT"/>
        </w:rPr>
        <w:t>3</w:t>
      </w:r>
      <w:r w:rsidRPr="000C2F3B">
        <w:rPr>
          <w:rFonts w:cs="Arial"/>
          <w:szCs w:val="18"/>
          <w:lang w:val="en-GB" w:eastAsia="it-IT"/>
        </w:rPr>
        <w:t xml:space="preserve">. </w:t>
      </w:r>
    </w:p>
    <w:p w14:paraId="1435D8B5" w14:textId="77777777" w:rsidR="002E4E03" w:rsidRPr="000C2F3B" w:rsidRDefault="002E4E03" w:rsidP="002E4E03">
      <w:pPr>
        <w:pStyle w:val="CETCaption"/>
        <w:jc w:val="center"/>
        <w:rPr>
          <w:rStyle w:val="CETCaptionCarattere"/>
          <w:i/>
          <w:color w:val="000000" w:themeColor="text1"/>
        </w:rPr>
      </w:pPr>
      <w:r w:rsidRPr="000C2F3B">
        <w:rPr>
          <w:rFonts w:cs="Arial"/>
          <w:noProof/>
          <w:color w:val="EE0000"/>
          <w:szCs w:val="18"/>
        </w:rPr>
        <w:drawing>
          <wp:inline distT="0" distB="0" distL="0" distR="0" wp14:anchorId="2A13974B" wp14:editId="4C9FF2FC">
            <wp:extent cx="3538330" cy="2474456"/>
            <wp:effectExtent l="0" t="0" r="5080" b="2540"/>
            <wp:docPr id="1885331904" name="Immagine 1" descr="Immagine che contiene diagramma, Diagramma, line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31904" name="Immagine 1" descr="Immagine che contiene diagramma, Diagramma, linea, testo&#10;&#10;Il contenuto generato dall'IA potrebbe non essere corretto."/>
                    <pic:cNvPicPr/>
                  </pic:nvPicPr>
                  <pic:blipFill>
                    <a:blip r:embed="rId12"/>
                    <a:stretch>
                      <a:fillRect/>
                    </a:stretch>
                  </pic:blipFill>
                  <pic:spPr>
                    <a:xfrm>
                      <a:off x="0" y="0"/>
                      <a:ext cx="3583043" cy="2505725"/>
                    </a:xfrm>
                    <a:prstGeom prst="rect">
                      <a:avLst/>
                    </a:prstGeom>
                  </pic:spPr>
                </pic:pic>
              </a:graphicData>
            </a:graphic>
          </wp:inline>
        </w:drawing>
      </w:r>
      <w:r w:rsidRPr="000C2F3B">
        <w:rPr>
          <w:rStyle w:val="CETCaptionCarattere"/>
          <w:i/>
          <w:color w:val="000000" w:themeColor="text1"/>
        </w:rPr>
        <w:t xml:space="preserve"> </w:t>
      </w:r>
    </w:p>
    <w:p w14:paraId="779BB83F" w14:textId="2F39861D" w:rsidR="002E4E03" w:rsidRPr="002E4E03" w:rsidRDefault="002E4E03" w:rsidP="002E4E03">
      <w:pPr>
        <w:pStyle w:val="CETCaption"/>
        <w:jc w:val="center"/>
        <w:rPr>
          <w:color w:val="000000" w:themeColor="text1"/>
        </w:rPr>
      </w:pPr>
      <w:r w:rsidRPr="000C2F3B">
        <w:rPr>
          <w:rStyle w:val="CETCaptionCarattere"/>
          <w:i/>
          <w:color w:val="000000" w:themeColor="text1"/>
        </w:rPr>
        <w:t xml:space="preserve">Figure </w:t>
      </w:r>
      <w:r w:rsidRPr="000C2F3B">
        <w:rPr>
          <w:rStyle w:val="CETCaptionCarattere"/>
          <w:i/>
          <w:color w:val="EE0000"/>
        </w:rPr>
        <w:t>3</w:t>
      </w:r>
      <w:r w:rsidRPr="000C2F3B">
        <w:rPr>
          <w:rStyle w:val="CETCaptionCarattere"/>
          <w:i/>
          <w:color w:val="000000" w:themeColor="text1"/>
        </w:rPr>
        <w:t xml:space="preserve">: </w:t>
      </w:r>
      <w:r w:rsidRPr="000C2F3B">
        <w:rPr>
          <w:rFonts w:cs="Arial"/>
          <w:i w:val="0"/>
          <w:iCs/>
          <w:szCs w:val="18"/>
          <w:lang w:eastAsia="it-IT"/>
        </w:rPr>
        <w:t xml:space="preserve">Multiple cycles of adsorption of dyes in the presence of magnetic chitosan with immobilized laccase. </w:t>
      </w:r>
    </w:p>
    <w:p w14:paraId="43647A4D" w14:textId="1ECE38F3" w:rsidR="000C2F3B" w:rsidRPr="000C2F3B" w:rsidRDefault="000A093D" w:rsidP="000A093D">
      <w:pPr>
        <w:pStyle w:val="CETBodytext"/>
        <w:rPr>
          <w:rFonts w:cs="Arial"/>
          <w:szCs w:val="18"/>
          <w:lang w:val="en-GB" w:eastAsia="it-IT"/>
        </w:rPr>
      </w:pPr>
      <w:r w:rsidRPr="000C2F3B">
        <w:rPr>
          <w:rFonts w:cs="Arial"/>
          <w:szCs w:val="18"/>
          <w:lang w:val="en-GB" w:eastAsia="it-IT"/>
        </w:rPr>
        <w:t xml:space="preserve">The experimental data indicate a progressive decrease in the removed fraction of dyes, probably due to the leakage of the immobilized enzyme, to its long-term inactivation, or to the progressive saturation of the adsorption sites on the surface of the magnetic chitosan. Yet, about 60% of the initial removal rate was kept after 12 cycles, demonstrating the feasibility of the method in the remediation of the textile wastewaters. </w:t>
      </w:r>
    </w:p>
    <w:p w14:paraId="1765000B" w14:textId="77777777" w:rsidR="000C2F3B" w:rsidRPr="000C2F3B" w:rsidRDefault="000C2F3B" w:rsidP="000C2F3B">
      <w:pPr>
        <w:pStyle w:val="CETHeading1"/>
        <w:rPr>
          <w:color w:val="000000" w:themeColor="text1"/>
          <w:lang w:val="en-GB"/>
        </w:rPr>
      </w:pPr>
      <w:r w:rsidRPr="000C2F3B">
        <w:rPr>
          <w:color w:val="000000" w:themeColor="text1"/>
          <w:lang w:val="en-GB"/>
        </w:rPr>
        <w:t>Conclusions</w:t>
      </w:r>
    </w:p>
    <w:p w14:paraId="0A028C54" w14:textId="77777777" w:rsidR="008C1F60" w:rsidRDefault="000C2F3B" w:rsidP="000C2F3B">
      <w:pPr>
        <w:pStyle w:val="CETBodytext"/>
        <w:rPr>
          <w:lang w:val="en-GB"/>
        </w:rPr>
      </w:pPr>
      <w:r w:rsidRPr="000C2F3B">
        <w:rPr>
          <w:lang w:val="en-GB"/>
        </w:rPr>
        <w:t xml:space="preserve">Dye adsorption on plain chitosan was strongly influenced by solution pH, reflecting electrostatic interactions between dye molecules and chitosan functional groups. The incorporation of iron oxide nanoparticles </w:t>
      </w:r>
      <w:r w:rsidRPr="000C2F3B">
        <w:rPr>
          <w:lang w:val="en-GB"/>
        </w:rPr>
        <w:lastRenderedPageBreak/>
        <w:t>significantly enhanced dye removal efficiency by increasing surface area and introducing additional interaction mechanisms, while also enabling magnetic separation. Further improvement was achieved by immobilizing laccase onto magnetic chitosan, resulting in enhanced dye removal across all tested conditions, particularly under acidic pH where the enzyme exhibited its highest catalytic activity. Although enzyme immobilization yield was favo</w:t>
      </w:r>
      <w:r w:rsidR="008C1F60">
        <w:rPr>
          <w:lang w:val="en-GB"/>
        </w:rPr>
        <w:t>u</w:t>
      </w:r>
      <w:r w:rsidRPr="000C2F3B">
        <w:rPr>
          <w:lang w:val="en-GB"/>
        </w:rPr>
        <w:t>red near neutral pH, catalytic activity was identified as the dominant factor governing dye degradation. Reusability tests demonstrated good operational stability, with approximately 60% of the initial removal efficiency retained after 12 consecutive cycles. Overall, the synergistic combination of adsorption and enzymatic catalysis provides a promising, sustainable strategy for wastewater remediation, offering effective dye removal, operational simplicity, and reuse potential</w:t>
      </w:r>
      <w:r w:rsidR="008C1F60">
        <w:rPr>
          <w:lang w:val="en-GB"/>
        </w:rPr>
        <w:t>.</w:t>
      </w:r>
    </w:p>
    <w:p w14:paraId="013E2888" w14:textId="18838E9B" w:rsidR="008C1F60" w:rsidRPr="008C1F60" w:rsidRDefault="008C1F60" w:rsidP="000C2F3B">
      <w:pPr>
        <w:pStyle w:val="CETBodytext"/>
        <w:rPr>
          <w:lang w:val="en-GB"/>
        </w:rPr>
        <w:sectPr w:rsidR="008C1F60" w:rsidRPr="008C1F60" w:rsidSect="000C2F3B">
          <w:type w:val="continuous"/>
          <w:pgSz w:w="11906" w:h="16838" w:code="9"/>
          <w:pgMar w:top="1701" w:right="1418" w:bottom="1701" w:left="1701" w:header="1701" w:footer="0" w:gutter="0"/>
          <w:cols w:space="708"/>
          <w:formProt w:val="0"/>
          <w:titlePg/>
          <w:docGrid w:linePitch="360"/>
        </w:sectPr>
      </w:pPr>
      <w:r w:rsidRPr="008C1F60">
        <w:rPr>
          <w:color w:val="EE0000"/>
        </w:rPr>
        <w:t>Future work will focus on scaling up the system for continuous-flow treatment and exploring its effectiveness against a broader range of industrial dyes and real textile effluents. Additionally, optimizing enzyme loading, exploring alternative functional nanoparticles, and integrating this approach with complementary treatment processes could further enhance its practical applicability and sustainability.</w:t>
      </w:r>
    </w:p>
    <w:p w14:paraId="4F1327F8" w14:textId="77777777" w:rsidR="00600535" w:rsidRPr="000C2F3B" w:rsidRDefault="00600535" w:rsidP="00600535">
      <w:pPr>
        <w:pStyle w:val="CETReference"/>
        <w:rPr>
          <w:color w:val="000000" w:themeColor="text1"/>
        </w:rPr>
      </w:pPr>
      <w:r w:rsidRPr="000C2F3B">
        <w:rPr>
          <w:color w:val="000000" w:themeColor="text1"/>
        </w:rPr>
        <w:t>References</w:t>
      </w:r>
    </w:p>
    <w:p w14:paraId="0EEF1BA6" w14:textId="77777777" w:rsidR="00984ACC" w:rsidRPr="000C2F3B" w:rsidRDefault="00984ACC" w:rsidP="00984ACC">
      <w:pPr>
        <w:pStyle w:val="CETReferencetext"/>
        <w:rPr>
          <w:color w:val="EE0000"/>
          <w:szCs w:val="18"/>
          <w:lang w:eastAsia="en-GB"/>
        </w:rPr>
      </w:pPr>
      <w:proofErr w:type="spellStart"/>
      <w:r w:rsidRPr="000C2F3B">
        <w:rPr>
          <w:color w:val="EE0000"/>
          <w:szCs w:val="18"/>
          <w:lang w:eastAsia="en-GB"/>
        </w:rPr>
        <w:t>Aragaw</w:t>
      </w:r>
      <w:proofErr w:type="spellEnd"/>
      <w:r w:rsidRPr="000C2F3B">
        <w:rPr>
          <w:color w:val="EE0000"/>
          <w:szCs w:val="18"/>
          <w:lang w:eastAsia="en-GB"/>
        </w:rPr>
        <w:t xml:space="preserve"> T.A., 2024, </w:t>
      </w:r>
      <w:r w:rsidRPr="000C2F3B">
        <w:rPr>
          <w:color w:val="EE0000"/>
          <w:szCs w:val="18"/>
          <w:lang w:eastAsia="en-GB"/>
        </w:rPr>
        <w:t>A review of dye biodegradation in textile wastewater, challenges due to wastewater characteristics, and the potential of alkaliphiles,</w:t>
      </w:r>
      <w:r w:rsidRPr="000C2F3B">
        <w:rPr>
          <w:color w:val="EE0000"/>
          <w:szCs w:val="18"/>
          <w:lang w:eastAsia="en-GB"/>
        </w:rPr>
        <w:t xml:space="preserve"> </w:t>
      </w:r>
      <w:r w:rsidRPr="000C2F3B">
        <w:rPr>
          <w:color w:val="EE0000"/>
          <w:szCs w:val="18"/>
          <w:lang w:eastAsia="en-GB"/>
        </w:rPr>
        <w:t>Journal of Hazardous Materials Advances,16,</w:t>
      </w:r>
      <w:r w:rsidRPr="000C2F3B">
        <w:rPr>
          <w:color w:val="EE0000"/>
          <w:szCs w:val="18"/>
          <w:lang w:eastAsia="en-GB"/>
        </w:rPr>
        <w:t xml:space="preserve"> </w:t>
      </w:r>
      <w:r w:rsidRPr="000C2F3B">
        <w:rPr>
          <w:color w:val="EE0000"/>
          <w:szCs w:val="18"/>
          <w:lang w:eastAsia="en-GB"/>
        </w:rPr>
        <w:t>100493</w:t>
      </w:r>
      <w:r w:rsidRPr="000C2F3B">
        <w:rPr>
          <w:color w:val="EE0000"/>
          <w:szCs w:val="18"/>
          <w:lang w:eastAsia="en-GB"/>
        </w:rPr>
        <w:t>.</w:t>
      </w:r>
    </w:p>
    <w:p w14:paraId="657A00B9" w14:textId="0FBADE4E" w:rsidR="007E2617" w:rsidRPr="000C2F3B" w:rsidRDefault="000F10D1" w:rsidP="00984ACC">
      <w:pPr>
        <w:pStyle w:val="CETReferencetext"/>
        <w:rPr>
          <w:szCs w:val="18"/>
          <w:lang w:eastAsia="en-GB"/>
        </w:rPr>
      </w:pPr>
      <w:r w:rsidRPr="000C2F3B">
        <w:rPr>
          <w:szCs w:val="18"/>
          <w:lang w:eastAsia="en-GB"/>
        </w:rPr>
        <w:t>Di Martino M.</w:t>
      </w:r>
      <w:r w:rsidR="00A45B8A" w:rsidRPr="000C2F3B">
        <w:rPr>
          <w:szCs w:val="18"/>
          <w:lang w:eastAsia="en-GB"/>
        </w:rPr>
        <w:t>,</w:t>
      </w:r>
      <w:r w:rsidRPr="000C2F3B">
        <w:rPr>
          <w:szCs w:val="18"/>
          <w:lang w:eastAsia="en-GB"/>
        </w:rPr>
        <w:t xml:space="preserve"> Sannino </w:t>
      </w:r>
      <w:proofErr w:type="gramStart"/>
      <w:r w:rsidRPr="000C2F3B">
        <w:rPr>
          <w:szCs w:val="18"/>
          <w:lang w:eastAsia="en-GB"/>
        </w:rPr>
        <w:t>F,</w:t>
      </w:r>
      <w:r w:rsidR="00A45B8A" w:rsidRPr="000C2F3B">
        <w:rPr>
          <w:szCs w:val="18"/>
          <w:lang w:eastAsia="en-GB"/>
        </w:rPr>
        <w:t>,</w:t>
      </w:r>
      <w:proofErr w:type="gramEnd"/>
      <w:r w:rsidRPr="000C2F3B">
        <w:rPr>
          <w:szCs w:val="18"/>
          <w:lang w:eastAsia="en-GB"/>
        </w:rPr>
        <w:t xml:space="preserve"> Pirozzi D.</w:t>
      </w:r>
      <w:r w:rsidR="00A45B8A" w:rsidRPr="000C2F3B">
        <w:rPr>
          <w:szCs w:val="18"/>
          <w:lang w:eastAsia="en-GB"/>
        </w:rPr>
        <w:t>,</w:t>
      </w:r>
      <w:r w:rsidRPr="000C2F3B">
        <w:rPr>
          <w:szCs w:val="18"/>
        </w:rPr>
        <w:t xml:space="preserve"> </w:t>
      </w:r>
      <w:r w:rsidR="00A858C7" w:rsidRPr="000C2F3B">
        <w:rPr>
          <w:szCs w:val="18"/>
        </w:rPr>
        <w:t>2015</w:t>
      </w:r>
      <w:r w:rsidR="00AB5AD8" w:rsidRPr="000C2F3B">
        <w:rPr>
          <w:color w:val="EE0000"/>
          <w:szCs w:val="18"/>
        </w:rPr>
        <w:t>,</w:t>
      </w:r>
      <w:r w:rsidR="00A858C7" w:rsidRPr="000C2F3B">
        <w:rPr>
          <w:szCs w:val="18"/>
        </w:rPr>
        <w:t xml:space="preserve"> </w:t>
      </w:r>
      <w:r w:rsidRPr="000C2F3B">
        <w:rPr>
          <w:szCs w:val="18"/>
          <w:lang w:eastAsia="en-GB"/>
        </w:rPr>
        <w:t>Removal of pesticide from wastewater: Contact time optimization for a two-stage batch stirred adsorber</w:t>
      </w:r>
      <w:r w:rsidR="007E2617" w:rsidRPr="000C2F3B">
        <w:rPr>
          <w:szCs w:val="18"/>
          <w:lang w:eastAsia="en-GB"/>
        </w:rPr>
        <w:t xml:space="preserve">, </w:t>
      </w:r>
      <w:r w:rsidRPr="000C2F3B">
        <w:rPr>
          <w:szCs w:val="18"/>
        </w:rPr>
        <w:t>J. Environ. Chem. Eng.</w:t>
      </w:r>
      <w:r w:rsidR="007E2617" w:rsidRPr="000C2F3B">
        <w:rPr>
          <w:szCs w:val="18"/>
        </w:rPr>
        <w:t>,</w:t>
      </w:r>
      <w:r w:rsidRPr="000C2F3B">
        <w:rPr>
          <w:szCs w:val="18"/>
        </w:rPr>
        <w:t xml:space="preserve"> </w:t>
      </w:r>
      <w:r w:rsidRPr="000C2F3B">
        <w:rPr>
          <w:szCs w:val="18"/>
          <w:lang w:eastAsia="en-GB"/>
        </w:rPr>
        <w:t>3,</w:t>
      </w:r>
      <w:r w:rsidRPr="000C2F3B">
        <w:rPr>
          <w:szCs w:val="18"/>
        </w:rPr>
        <w:t xml:space="preserve"> </w:t>
      </w:r>
      <w:r w:rsidRPr="000C2F3B">
        <w:rPr>
          <w:szCs w:val="18"/>
          <w:lang w:eastAsia="en-GB"/>
        </w:rPr>
        <w:t>365-372.</w:t>
      </w:r>
    </w:p>
    <w:p w14:paraId="234B62A5" w14:textId="60C1EE87" w:rsidR="00685E94" w:rsidRPr="000C2F3B" w:rsidRDefault="00685E94" w:rsidP="007E2617">
      <w:pPr>
        <w:pStyle w:val="CETReferencetext"/>
        <w:rPr>
          <w:snapToGrid w:val="0"/>
          <w:color w:val="EE0000"/>
          <w:lang w:bidi="en-US"/>
        </w:rPr>
      </w:pPr>
      <w:r w:rsidRPr="000C2F3B">
        <w:rPr>
          <w:color w:val="EE0000"/>
        </w:rPr>
        <w:t>Haslinger J, Lindtner S, Krampe J.</w:t>
      </w:r>
      <w:r w:rsidRPr="000C2F3B">
        <w:rPr>
          <w:color w:val="EE0000"/>
        </w:rPr>
        <w:t>, 2016,</w:t>
      </w:r>
      <w:r w:rsidRPr="000C2F3B">
        <w:rPr>
          <w:color w:val="EE0000"/>
        </w:rPr>
        <w:t xml:space="preserve"> Operating costs and energy demand of wastewater treatment plants in Austria: benchmarking results of the last 10 years</w:t>
      </w:r>
      <w:r w:rsidRPr="000C2F3B">
        <w:rPr>
          <w:color w:val="EE0000"/>
        </w:rPr>
        <w:t>,</w:t>
      </w:r>
      <w:r w:rsidRPr="000C2F3B">
        <w:rPr>
          <w:color w:val="EE0000"/>
        </w:rPr>
        <w:t xml:space="preserve"> Water Sci Technol</w:t>
      </w:r>
      <w:r w:rsidRPr="000C2F3B">
        <w:rPr>
          <w:color w:val="EE0000"/>
        </w:rPr>
        <w:t xml:space="preserve">., </w:t>
      </w:r>
      <w:r w:rsidRPr="000C2F3B">
        <w:rPr>
          <w:color w:val="EE0000"/>
        </w:rPr>
        <w:t>74(11)</w:t>
      </w:r>
      <w:r w:rsidRPr="000C2F3B">
        <w:rPr>
          <w:color w:val="EE0000"/>
        </w:rPr>
        <w:t xml:space="preserve">, </w:t>
      </w:r>
      <w:r w:rsidRPr="000C2F3B">
        <w:rPr>
          <w:color w:val="EE0000"/>
        </w:rPr>
        <w:t>2620-2626.</w:t>
      </w:r>
      <w:r w:rsidRPr="000C2F3B">
        <w:rPr>
          <w:snapToGrid w:val="0"/>
          <w:color w:val="EE0000"/>
          <w:lang w:bidi="en-US"/>
        </w:rPr>
        <w:t xml:space="preserve"> </w:t>
      </w:r>
    </w:p>
    <w:p w14:paraId="6B678F9E" w14:textId="713898D0" w:rsidR="007E2617" w:rsidRPr="000C2F3B" w:rsidRDefault="00B77DDE" w:rsidP="007E2617">
      <w:pPr>
        <w:pStyle w:val="CETReferencetext"/>
        <w:rPr>
          <w:snapToGrid w:val="0"/>
          <w:szCs w:val="18"/>
          <w:lang w:bidi="en-US"/>
        </w:rPr>
      </w:pPr>
      <w:r w:rsidRPr="000C2F3B">
        <w:rPr>
          <w:snapToGrid w:val="0"/>
          <w:lang w:bidi="en-US"/>
        </w:rPr>
        <w:t>Hu R.</w:t>
      </w:r>
      <w:r w:rsidR="00A45B8A" w:rsidRPr="000C2F3B">
        <w:rPr>
          <w:snapToGrid w:val="0"/>
          <w:lang w:bidi="en-US"/>
        </w:rPr>
        <w:t>,</w:t>
      </w:r>
      <w:r w:rsidRPr="000C2F3B">
        <w:rPr>
          <w:snapToGrid w:val="0"/>
          <w:lang w:bidi="en-US"/>
        </w:rPr>
        <w:t xml:space="preserve"> </w:t>
      </w:r>
      <w:r w:rsidR="00A858C7" w:rsidRPr="000C2F3B">
        <w:rPr>
          <w:snapToGrid w:val="0"/>
          <w:szCs w:val="18"/>
          <w:lang w:bidi="en-US"/>
        </w:rPr>
        <w:t>2020</w:t>
      </w:r>
      <w:r w:rsidR="00AB5AD8" w:rsidRPr="000C2F3B">
        <w:rPr>
          <w:color w:val="EE0000"/>
          <w:szCs w:val="18"/>
        </w:rPr>
        <w:t>,</w:t>
      </w:r>
      <w:r w:rsidR="00A858C7" w:rsidRPr="000C2F3B">
        <w:rPr>
          <w:snapToGrid w:val="0"/>
          <w:szCs w:val="18"/>
          <w:lang w:bidi="en-US"/>
        </w:rPr>
        <w:t xml:space="preserve"> </w:t>
      </w:r>
      <w:r w:rsidRPr="000C2F3B">
        <w:rPr>
          <w:snapToGrid w:val="0"/>
          <w:szCs w:val="18"/>
          <w:lang w:bidi="en-US"/>
        </w:rPr>
        <w:t>Pollution control and remediation of rural water resource based on urbanization perspective</w:t>
      </w:r>
      <w:r w:rsidR="007E2617" w:rsidRPr="000C2F3B">
        <w:rPr>
          <w:snapToGrid w:val="0"/>
          <w:szCs w:val="18"/>
          <w:lang w:bidi="en-US"/>
        </w:rPr>
        <w:t>,</w:t>
      </w:r>
      <w:r w:rsidRPr="000C2F3B">
        <w:rPr>
          <w:snapToGrid w:val="0"/>
          <w:szCs w:val="18"/>
          <w:lang w:bidi="en-US"/>
        </w:rPr>
        <w:t xml:space="preserve"> Environmental Technology &amp; Innovation, 20, 101136.</w:t>
      </w:r>
    </w:p>
    <w:p w14:paraId="76E885A7" w14:textId="7BA12352" w:rsidR="00B96D99" w:rsidRPr="000C2F3B" w:rsidRDefault="00B96D99" w:rsidP="007E2617">
      <w:pPr>
        <w:pStyle w:val="CETReferencetext"/>
        <w:rPr>
          <w:snapToGrid w:val="0"/>
          <w:color w:val="EE0000"/>
          <w:szCs w:val="18"/>
          <w:lang w:bidi="en-US"/>
        </w:rPr>
      </w:pPr>
      <w:r w:rsidRPr="000C2F3B">
        <w:rPr>
          <w:color w:val="EE0000"/>
        </w:rPr>
        <w:t>Hu, Q.</w:t>
      </w:r>
      <w:r w:rsidRPr="000C2F3B">
        <w:rPr>
          <w:color w:val="EE0000"/>
        </w:rPr>
        <w:t>,</w:t>
      </w:r>
      <w:r w:rsidRPr="000C2F3B">
        <w:rPr>
          <w:color w:val="EE0000"/>
        </w:rPr>
        <w:t xml:space="preserve"> Hao, L.</w:t>
      </w:r>
      <w:r w:rsidRPr="000C2F3B">
        <w:rPr>
          <w:color w:val="EE0000"/>
        </w:rPr>
        <w:t>, 2025,</w:t>
      </w:r>
      <w:r w:rsidRPr="000C2F3B">
        <w:rPr>
          <w:color w:val="EE0000"/>
        </w:rPr>
        <w:t xml:space="preserve"> Adsorption Technologies in Wastewater Treatment Processes</w:t>
      </w:r>
      <w:r w:rsidRPr="000C2F3B">
        <w:rPr>
          <w:color w:val="EE0000"/>
        </w:rPr>
        <w:t>,</w:t>
      </w:r>
      <w:r w:rsidRPr="000C2F3B">
        <w:rPr>
          <w:color w:val="EE0000"/>
        </w:rPr>
        <w:t xml:space="preserve"> </w:t>
      </w:r>
      <w:r w:rsidRPr="000C2F3B">
        <w:rPr>
          <w:rStyle w:val="Enfasicorsivo"/>
          <w:i w:val="0"/>
          <w:iCs w:val="0"/>
          <w:color w:val="EE0000"/>
        </w:rPr>
        <w:t>Water</w:t>
      </w:r>
      <w:r w:rsidRPr="000C2F3B">
        <w:rPr>
          <w:color w:val="EE0000"/>
        </w:rPr>
        <w:t xml:space="preserve">, </w:t>
      </w:r>
      <w:r w:rsidRPr="000C2F3B">
        <w:rPr>
          <w:rStyle w:val="Enfasicorsivo"/>
          <w:i w:val="0"/>
          <w:iCs w:val="0"/>
          <w:color w:val="EE0000"/>
        </w:rPr>
        <w:t>17</w:t>
      </w:r>
      <w:r w:rsidRPr="000C2F3B">
        <w:rPr>
          <w:color w:val="EE0000"/>
        </w:rPr>
        <w:t>, 2335</w:t>
      </w:r>
      <w:r w:rsidRPr="000C2F3B">
        <w:rPr>
          <w:color w:val="EE0000"/>
        </w:rPr>
        <w:t>.</w:t>
      </w:r>
    </w:p>
    <w:p w14:paraId="7090BA6E" w14:textId="468E7FAB" w:rsidR="00984ACC" w:rsidRPr="000C2F3B" w:rsidRDefault="00984ACC" w:rsidP="00984ACC">
      <w:pPr>
        <w:pStyle w:val="CETReferencetext"/>
        <w:rPr>
          <w:color w:val="EE0000"/>
        </w:rPr>
      </w:pPr>
      <w:r w:rsidRPr="000C2F3B">
        <w:rPr>
          <w:color w:val="EE0000"/>
        </w:rPr>
        <w:t>Kumar</w:t>
      </w:r>
      <w:r w:rsidRPr="000C2F3B">
        <w:rPr>
          <w:color w:val="EE0000"/>
        </w:rPr>
        <w:t xml:space="preserve"> M.</w:t>
      </w:r>
      <w:r w:rsidRPr="000C2F3B">
        <w:rPr>
          <w:color w:val="EE0000"/>
        </w:rPr>
        <w:t>, Shekhar</w:t>
      </w:r>
      <w:r w:rsidRPr="000C2F3B">
        <w:rPr>
          <w:color w:val="EE0000"/>
        </w:rPr>
        <w:t xml:space="preserve"> S.</w:t>
      </w:r>
      <w:r w:rsidRPr="000C2F3B">
        <w:rPr>
          <w:color w:val="EE0000"/>
        </w:rPr>
        <w:t>, Kumar</w:t>
      </w:r>
      <w:r w:rsidRPr="000C2F3B">
        <w:rPr>
          <w:color w:val="EE0000"/>
        </w:rPr>
        <w:t xml:space="preserve"> R.</w:t>
      </w:r>
      <w:r w:rsidRPr="000C2F3B">
        <w:rPr>
          <w:color w:val="EE0000"/>
        </w:rPr>
        <w:t>, Kumar</w:t>
      </w:r>
      <w:r w:rsidRPr="000C2F3B">
        <w:rPr>
          <w:color w:val="EE0000"/>
        </w:rPr>
        <w:t xml:space="preserve"> P.</w:t>
      </w:r>
      <w:r w:rsidRPr="000C2F3B">
        <w:rPr>
          <w:color w:val="EE0000"/>
        </w:rPr>
        <w:t xml:space="preserve">, </w:t>
      </w:r>
      <w:proofErr w:type="spellStart"/>
      <w:r w:rsidRPr="000C2F3B">
        <w:rPr>
          <w:color w:val="EE0000"/>
        </w:rPr>
        <w:t>Govarthanan</w:t>
      </w:r>
      <w:proofErr w:type="spellEnd"/>
      <w:r w:rsidRPr="000C2F3B">
        <w:rPr>
          <w:color w:val="EE0000"/>
        </w:rPr>
        <w:t xml:space="preserve"> M.</w:t>
      </w:r>
      <w:r w:rsidRPr="000C2F3B">
        <w:rPr>
          <w:color w:val="EE0000"/>
        </w:rPr>
        <w:t>, Chaminda</w:t>
      </w:r>
      <w:r w:rsidRPr="000C2F3B">
        <w:rPr>
          <w:color w:val="EE0000"/>
        </w:rPr>
        <w:t xml:space="preserve"> T.</w:t>
      </w:r>
      <w:r w:rsidRPr="000C2F3B">
        <w:rPr>
          <w:color w:val="EE0000"/>
        </w:rPr>
        <w:t>,</w:t>
      </w:r>
      <w:r w:rsidRPr="000C2F3B">
        <w:rPr>
          <w:color w:val="EE0000"/>
        </w:rPr>
        <w:t xml:space="preserve"> 2023, </w:t>
      </w:r>
      <w:r w:rsidRPr="000C2F3B">
        <w:rPr>
          <w:color w:val="EE0000"/>
        </w:rPr>
        <w:t>Drinking water treatment and associated toxic byproducts: Concurrence and urgence,</w:t>
      </w:r>
      <w:r w:rsidRPr="000C2F3B">
        <w:rPr>
          <w:color w:val="EE0000"/>
        </w:rPr>
        <w:t xml:space="preserve"> </w:t>
      </w:r>
      <w:r w:rsidRPr="000C2F3B">
        <w:rPr>
          <w:color w:val="EE0000"/>
        </w:rPr>
        <w:t>Environmental Pollution,</w:t>
      </w:r>
      <w:r w:rsidRPr="000C2F3B">
        <w:rPr>
          <w:color w:val="EE0000"/>
        </w:rPr>
        <w:t xml:space="preserve"> </w:t>
      </w:r>
      <w:r w:rsidRPr="000C2F3B">
        <w:rPr>
          <w:color w:val="EE0000"/>
        </w:rPr>
        <w:t>320,121009</w:t>
      </w:r>
      <w:r w:rsidRPr="000C2F3B">
        <w:rPr>
          <w:color w:val="EE0000"/>
        </w:rPr>
        <w:t>.</w:t>
      </w:r>
    </w:p>
    <w:p w14:paraId="6AFD442D" w14:textId="3075EF65" w:rsidR="007E2617" w:rsidRPr="000C2F3B" w:rsidRDefault="00B77DDE" w:rsidP="007E2617">
      <w:pPr>
        <w:pStyle w:val="CETReferencetext"/>
        <w:rPr>
          <w:color w:val="EE0000"/>
        </w:rPr>
      </w:pPr>
      <w:r w:rsidRPr="000C2F3B">
        <w:rPr>
          <w:szCs w:val="18"/>
        </w:rPr>
        <w:t>Li</w:t>
      </w:r>
      <w:r w:rsidR="00A45B8A" w:rsidRPr="000C2F3B">
        <w:rPr>
          <w:szCs w:val="18"/>
        </w:rPr>
        <w:t xml:space="preserve"> </w:t>
      </w:r>
      <w:r w:rsidRPr="000C2F3B">
        <w:rPr>
          <w:szCs w:val="18"/>
        </w:rPr>
        <w:t>Y.</w:t>
      </w:r>
      <w:r w:rsidR="00A45B8A" w:rsidRPr="000C2F3B">
        <w:rPr>
          <w:szCs w:val="18"/>
        </w:rPr>
        <w:t>,</w:t>
      </w:r>
      <w:r w:rsidRPr="000C2F3B">
        <w:rPr>
          <w:szCs w:val="18"/>
        </w:rPr>
        <w:t xml:space="preserve"> Ye Q.</w:t>
      </w:r>
      <w:r w:rsidR="00A45B8A" w:rsidRPr="000C2F3B">
        <w:rPr>
          <w:szCs w:val="18"/>
        </w:rPr>
        <w:t>,</w:t>
      </w:r>
      <w:r w:rsidRPr="000C2F3B">
        <w:rPr>
          <w:szCs w:val="18"/>
        </w:rPr>
        <w:t xml:space="preserve"> Liu A.</w:t>
      </w:r>
      <w:r w:rsidR="00A45B8A" w:rsidRPr="000C2F3B">
        <w:rPr>
          <w:szCs w:val="18"/>
        </w:rPr>
        <w:t>,</w:t>
      </w:r>
      <w:r w:rsidRPr="000C2F3B">
        <w:rPr>
          <w:szCs w:val="18"/>
        </w:rPr>
        <w:t xml:space="preserve"> Meng F.</w:t>
      </w:r>
      <w:r w:rsidR="00A45B8A" w:rsidRPr="000C2F3B">
        <w:rPr>
          <w:szCs w:val="18"/>
        </w:rPr>
        <w:t>,</w:t>
      </w:r>
      <w:r w:rsidRPr="000C2F3B">
        <w:rPr>
          <w:szCs w:val="18"/>
        </w:rPr>
        <w:t xml:space="preserve"> Zhang W.</w:t>
      </w:r>
      <w:r w:rsidR="00A45B8A" w:rsidRPr="000C2F3B">
        <w:rPr>
          <w:szCs w:val="18"/>
        </w:rPr>
        <w:t>,</w:t>
      </w:r>
      <w:r w:rsidRPr="000C2F3B">
        <w:rPr>
          <w:szCs w:val="18"/>
        </w:rPr>
        <w:t xml:space="preserve"> Xiong W.</w:t>
      </w:r>
      <w:r w:rsidR="00A45B8A" w:rsidRPr="000C2F3B">
        <w:rPr>
          <w:szCs w:val="18"/>
        </w:rPr>
        <w:t>,</w:t>
      </w:r>
      <w:r w:rsidRPr="000C2F3B">
        <w:rPr>
          <w:szCs w:val="18"/>
        </w:rPr>
        <w:t xml:space="preserve"> Wang C.</w:t>
      </w:r>
      <w:r w:rsidR="00A45B8A" w:rsidRPr="000C2F3B">
        <w:rPr>
          <w:szCs w:val="18"/>
        </w:rPr>
        <w:t>,</w:t>
      </w:r>
      <w:r w:rsidRPr="000C2F3B">
        <w:rPr>
          <w:szCs w:val="18"/>
        </w:rPr>
        <w:t xml:space="preserve"> </w:t>
      </w:r>
      <w:r w:rsidR="00A858C7" w:rsidRPr="000C2F3B">
        <w:rPr>
          <w:szCs w:val="18"/>
        </w:rPr>
        <w:t>2017</w:t>
      </w:r>
      <w:r w:rsidR="00AB5AD8" w:rsidRPr="000C2F3B">
        <w:rPr>
          <w:color w:val="EE0000"/>
          <w:szCs w:val="18"/>
        </w:rPr>
        <w:t>,</w:t>
      </w:r>
      <w:r w:rsidR="00A858C7" w:rsidRPr="000C2F3B">
        <w:rPr>
          <w:szCs w:val="18"/>
        </w:rPr>
        <w:t xml:space="preserve"> </w:t>
      </w:r>
      <w:r w:rsidRPr="000C2F3B">
        <w:rPr>
          <w:szCs w:val="18"/>
        </w:rPr>
        <w:t>Seeking urbanization security and sustainability: Multi-objective optimization of rainwater harvesting systems in China</w:t>
      </w:r>
      <w:r w:rsidR="007E2617" w:rsidRPr="000C2F3B">
        <w:rPr>
          <w:szCs w:val="18"/>
        </w:rPr>
        <w:t>,</w:t>
      </w:r>
      <w:r w:rsidRPr="000C2F3B">
        <w:rPr>
          <w:szCs w:val="18"/>
        </w:rPr>
        <w:t xml:space="preserve"> J. </w:t>
      </w:r>
      <w:proofErr w:type="spellStart"/>
      <w:r w:rsidRPr="000C2F3B">
        <w:rPr>
          <w:szCs w:val="18"/>
        </w:rPr>
        <w:t>Hydrol</w:t>
      </w:r>
      <w:proofErr w:type="spellEnd"/>
      <w:r w:rsidRPr="000C2F3B">
        <w:rPr>
          <w:szCs w:val="18"/>
        </w:rPr>
        <w:t>., 550, 42-53.</w:t>
      </w:r>
    </w:p>
    <w:p w14:paraId="309CE232" w14:textId="08977EEA" w:rsidR="007E2617" w:rsidRPr="000C2F3B" w:rsidRDefault="00B77DDE" w:rsidP="007E2617">
      <w:pPr>
        <w:pStyle w:val="CETReferencetext"/>
        <w:rPr>
          <w:szCs w:val="18"/>
          <w:lang w:eastAsia="it-IT"/>
        </w:rPr>
      </w:pPr>
      <w:r w:rsidRPr="000C2F3B">
        <w:rPr>
          <w:szCs w:val="18"/>
          <w:lang w:eastAsia="it-IT"/>
        </w:rPr>
        <w:t>Liu J.</w:t>
      </w:r>
      <w:r w:rsidR="00A45B8A" w:rsidRPr="000C2F3B">
        <w:rPr>
          <w:szCs w:val="18"/>
          <w:lang w:eastAsia="it-IT"/>
        </w:rPr>
        <w:t>,</w:t>
      </w:r>
      <w:r w:rsidRPr="000C2F3B">
        <w:rPr>
          <w:szCs w:val="18"/>
          <w:lang w:eastAsia="it-IT"/>
        </w:rPr>
        <w:t xml:space="preserve"> Yang</w:t>
      </w:r>
      <w:r w:rsidR="00A45B8A" w:rsidRPr="000C2F3B">
        <w:rPr>
          <w:szCs w:val="18"/>
          <w:lang w:eastAsia="it-IT"/>
        </w:rPr>
        <w:t xml:space="preserve"> </w:t>
      </w:r>
      <w:r w:rsidRPr="000C2F3B">
        <w:rPr>
          <w:szCs w:val="18"/>
          <w:lang w:eastAsia="it-IT"/>
        </w:rPr>
        <w:t>H.</w:t>
      </w:r>
      <w:r w:rsidR="00A45B8A" w:rsidRPr="000C2F3B">
        <w:rPr>
          <w:szCs w:val="18"/>
          <w:lang w:eastAsia="it-IT"/>
        </w:rPr>
        <w:t>,</w:t>
      </w:r>
      <w:r w:rsidRPr="000C2F3B">
        <w:rPr>
          <w:szCs w:val="18"/>
          <w:lang w:eastAsia="it-IT"/>
        </w:rPr>
        <w:t xml:space="preserve"> Gosling S.N.</w:t>
      </w:r>
      <w:r w:rsidR="00A45B8A" w:rsidRPr="000C2F3B">
        <w:rPr>
          <w:szCs w:val="18"/>
          <w:lang w:eastAsia="it-IT"/>
        </w:rPr>
        <w:t>,</w:t>
      </w:r>
      <w:r w:rsidRPr="000C2F3B">
        <w:rPr>
          <w:szCs w:val="18"/>
          <w:lang w:eastAsia="it-IT"/>
        </w:rPr>
        <w:t xml:space="preserve"> </w:t>
      </w:r>
      <w:proofErr w:type="spellStart"/>
      <w:r w:rsidRPr="000C2F3B">
        <w:rPr>
          <w:szCs w:val="18"/>
          <w:lang w:eastAsia="it-IT"/>
        </w:rPr>
        <w:t>Kummu</w:t>
      </w:r>
      <w:proofErr w:type="spellEnd"/>
      <w:r w:rsidRPr="000C2F3B">
        <w:rPr>
          <w:szCs w:val="18"/>
          <w:lang w:eastAsia="it-IT"/>
        </w:rPr>
        <w:t xml:space="preserve"> M.</w:t>
      </w:r>
      <w:r w:rsidR="00A45B8A" w:rsidRPr="000C2F3B">
        <w:rPr>
          <w:szCs w:val="18"/>
          <w:lang w:eastAsia="it-IT"/>
        </w:rPr>
        <w:t>,</w:t>
      </w:r>
      <w:r w:rsidRPr="000C2F3B">
        <w:rPr>
          <w:szCs w:val="18"/>
          <w:lang w:eastAsia="it-IT"/>
        </w:rPr>
        <w:t xml:space="preserve"> </w:t>
      </w:r>
      <w:proofErr w:type="spellStart"/>
      <w:r w:rsidRPr="000C2F3B">
        <w:rPr>
          <w:szCs w:val="18"/>
          <w:lang w:eastAsia="it-IT"/>
        </w:rPr>
        <w:t>Flörke</w:t>
      </w:r>
      <w:proofErr w:type="spellEnd"/>
      <w:r w:rsidRPr="000C2F3B">
        <w:rPr>
          <w:szCs w:val="18"/>
          <w:lang w:eastAsia="it-IT"/>
        </w:rPr>
        <w:t xml:space="preserve"> M.</w:t>
      </w:r>
      <w:r w:rsidR="00A45B8A" w:rsidRPr="000C2F3B">
        <w:rPr>
          <w:szCs w:val="18"/>
          <w:lang w:eastAsia="it-IT"/>
        </w:rPr>
        <w:t>,</w:t>
      </w:r>
      <w:r w:rsidRPr="000C2F3B">
        <w:rPr>
          <w:szCs w:val="18"/>
          <w:lang w:eastAsia="it-IT"/>
        </w:rPr>
        <w:t xml:space="preserve"> Pfister S.</w:t>
      </w:r>
      <w:r w:rsidR="00A45B8A" w:rsidRPr="000C2F3B">
        <w:rPr>
          <w:szCs w:val="18"/>
          <w:lang w:eastAsia="it-IT"/>
        </w:rPr>
        <w:t>,</w:t>
      </w:r>
      <w:r w:rsidRPr="000C2F3B">
        <w:rPr>
          <w:szCs w:val="18"/>
          <w:lang w:eastAsia="it-IT"/>
        </w:rPr>
        <w:t xml:space="preserve"> </w:t>
      </w:r>
      <w:proofErr w:type="spellStart"/>
      <w:r w:rsidRPr="000C2F3B">
        <w:rPr>
          <w:szCs w:val="18"/>
          <w:lang w:eastAsia="it-IT"/>
        </w:rPr>
        <w:t>Hanasaki</w:t>
      </w:r>
      <w:proofErr w:type="spellEnd"/>
      <w:r w:rsidRPr="000C2F3B">
        <w:rPr>
          <w:szCs w:val="18"/>
          <w:lang w:eastAsia="it-IT"/>
        </w:rPr>
        <w:t xml:space="preserve"> N.</w:t>
      </w:r>
      <w:r w:rsidR="00A45B8A" w:rsidRPr="000C2F3B">
        <w:rPr>
          <w:szCs w:val="18"/>
          <w:lang w:eastAsia="it-IT"/>
        </w:rPr>
        <w:t>,</w:t>
      </w:r>
      <w:r w:rsidRPr="000C2F3B">
        <w:rPr>
          <w:szCs w:val="18"/>
          <w:lang w:eastAsia="it-IT"/>
        </w:rPr>
        <w:t xml:space="preserve"> Wada Y.</w:t>
      </w:r>
      <w:r w:rsidR="00A45B8A" w:rsidRPr="000C2F3B">
        <w:rPr>
          <w:szCs w:val="18"/>
          <w:lang w:eastAsia="it-IT"/>
        </w:rPr>
        <w:t>,</w:t>
      </w:r>
      <w:r w:rsidRPr="000C2F3B">
        <w:rPr>
          <w:szCs w:val="18"/>
          <w:lang w:eastAsia="it-IT"/>
        </w:rPr>
        <w:t xml:space="preserve"> Zhang X.</w:t>
      </w:r>
      <w:r w:rsidR="00A45B8A" w:rsidRPr="000C2F3B">
        <w:rPr>
          <w:szCs w:val="18"/>
          <w:lang w:eastAsia="it-IT"/>
        </w:rPr>
        <w:t>,</w:t>
      </w:r>
      <w:r w:rsidRPr="000C2F3B">
        <w:rPr>
          <w:szCs w:val="18"/>
          <w:lang w:eastAsia="it-IT"/>
        </w:rPr>
        <w:t xml:space="preserve"> Zheng C.</w:t>
      </w:r>
      <w:r w:rsidR="00A45B8A" w:rsidRPr="000C2F3B">
        <w:rPr>
          <w:szCs w:val="18"/>
          <w:lang w:eastAsia="it-IT"/>
        </w:rPr>
        <w:t>,</w:t>
      </w:r>
      <w:r w:rsidRPr="000C2F3B">
        <w:rPr>
          <w:szCs w:val="18"/>
          <w:lang w:eastAsia="it-IT"/>
        </w:rPr>
        <w:t xml:space="preserve"> </w:t>
      </w:r>
      <w:r w:rsidR="00A858C7" w:rsidRPr="000C2F3B">
        <w:rPr>
          <w:szCs w:val="18"/>
          <w:lang w:eastAsia="it-IT"/>
        </w:rPr>
        <w:t>2017</w:t>
      </w:r>
      <w:r w:rsidR="00AB5AD8" w:rsidRPr="000C2F3B">
        <w:rPr>
          <w:color w:val="EE0000"/>
          <w:szCs w:val="18"/>
        </w:rPr>
        <w:t>,</w:t>
      </w:r>
      <w:r w:rsidR="00A858C7" w:rsidRPr="000C2F3B">
        <w:rPr>
          <w:szCs w:val="18"/>
          <w:lang w:eastAsia="it-IT"/>
        </w:rPr>
        <w:t xml:space="preserve"> </w:t>
      </w:r>
      <w:r w:rsidRPr="000C2F3B">
        <w:rPr>
          <w:szCs w:val="18"/>
          <w:lang w:eastAsia="it-IT"/>
        </w:rPr>
        <w:t>Water scarcity assessments in the past, present and future</w:t>
      </w:r>
      <w:r w:rsidR="007E2617" w:rsidRPr="000C2F3B">
        <w:rPr>
          <w:szCs w:val="18"/>
          <w:lang w:eastAsia="it-IT"/>
        </w:rPr>
        <w:t>,</w:t>
      </w:r>
      <w:r w:rsidRPr="000C2F3B">
        <w:rPr>
          <w:b/>
          <w:bCs/>
          <w:szCs w:val="18"/>
          <w:lang w:eastAsia="it-IT"/>
        </w:rPr>
        <w:t xml:space="preserve"> </w:t>
      </w:r>
      <w:r w:rsidRPr="000C2F3B">
        <w:rPr>
          <w:szCs w:val="18"/>
          <w:lang w:eastAsia="it-IT"/>
        </w:rPr>
        <w:t>Earth's Future, 5, 545-559.</w:t>
      </w:r>
    </w:p>
    <w:p w14:paraId="0DC8769F" w14:textId="29506254" w:rsidR="007E2617" w:rsidRPr="000C2F3B" w:rsidRDefault="00C040D5" w:rsidP="007E2617">
      <w:pPr>
        <w:pStyle w:val="CETReferencetext"/>
        <w:rPr>
          <w:rFonts w:eastAsia="MinionPro-Regular" w:cs="MinionPro-Regular"/>
          <w:szCs w:val="18"/>
          <w:lang w:eastAsia="en-GB"/>
        </w:rPr>
      </w:pPr>
      <w:r w:rsidRPr="000C2F3B">
        <w:rPr>
          <w:rFonts w:eastAsia="MinionPro-Regular" w:cs="MinionPro-Regular"/>
          <w:szCs w:val="18"/>
          <w:lang w:eastAsia="en-GB"/>
        </w:rPr>
        <w:t>Naghdi M.</w:t>
      </w:r>
      <w:r w:rsidR="00A45B8A" w:rsidRPr="000C2F3B">
        <w:rPr>
          <w:rFonts w:eastAsia="MinionPro-Regular" w:cs="MinionPro-Regular"/>
          <w:szCs w:val="18"/>
          <w:lang w:eastAsia="en-GB"/>
        </w:rPr>
        <w:t>,</w:t>
      </w:r>
      <w:r w:rsidRPr="000C2F3B">
        <w:rPr>
          <w:rFonts w:eastAsia="MinionPro-Regular" w:cs="MinionPro-Regular"/>
          <w:szCs w:val="18"/>
          <w:lang w:eastAsia="en-GB"/>
        </w:rPr>
        <w:t xml:space="preserve"> </w:t>
      </w:r>
      <w:proofErr w:type="spellStart"/>
      <w:r w:rsidRPr="000C2F3B">
        <w:rPr>
          <w:rFonts w:eastAsia="MinionPro-Regular" w:cs="MinionPro-Regular"/>
          <w:szCs w:val="18"/>
          <w:lang w:eastAsia="en-GB"/>
        </w:rPr>
        <w:t>Taheran</w:t>
      </w:r>
      <w:proofErr w:type="spellEnd"/>
      <w:r w:rsidRPr="000C2F3B">
        <w:rPr>
          <w:rFonts w:eastAsia="MinionPro-Regular" w:cs="MinionPro-Regular"/>
          <w:szCs w:val="18"/>
          <w:lang w:eastAsia="en-GB"/>
        </w:rPr>
        <w:t xml:space="preserve"> M.</w:t>
      </w:r>
      <w:r w:rsidR="00A45B8A" w:rsidRPr="000C2F3B">
        <w:rPr>
          <w:rFonts w:eastAsia="MinionPro-Regular" w:cs="MinionPro-Regular"/>
          <w:szCs w:val="18"/>
          <w:lang w:eastAsia="en-GB"/>
        </w:rPr>
        <w:t>,</w:t>
      </w:r>
      <w:r w:rsidRPr="000C2F3B">
        <w:rPr>
          <w:rFonts w:eastAsia="MinionPro-Regular" w:cs="MinionPro-Regular"/>
          <w:szCs w:val="18"/>
          <w:lang w:eastAsia="en-GB"/>
        </w:rPr>
        <w:t xml:space="preserve"> Brar S.K.</w:t>
      </w:r>
      <w:r w:rsidR="00A45B8A" w:rsidRPr="000C2F3B">
        <w:rPr>
          <w:rFonts w:eastAsia="MinionPro-Regular" w:cs="MinionPro-Regular"/>
          <w:szCs w:val="18"/>
          <w:lang w:eastAsia="en-GB"/>
        </w:rPr>
        <w:t>,</w:t>
      </w:r>
      <w:r w:rsidRPr="000C2F3B">
        <w:rPr>
          <w:rFonts w:eastAsia="MinionPro-Regular" w:cs="MinionPro-Regular"/>
          <w:szCs w:val="18"/>
          <w:lang w:eastAsia="en-GB"/>
        </w:rPr>
        <w:t xml:space="preserve"> </w:t>
      </w:r>
      <w:proofErr w:type="spellStart"/>
      <w:r w:rsidRPr="000C2F3B">
        <w:rPr>
          <w:rFonts w:eastAsia="MinionPro-Regular" w:cs="MinionPro-Regular"/>
          <w:szCs w:val="18"/>
          <w:lang w:eastAsia="en-GB"/>
        </w:rPr>
        <w:t>Kermanshahi</w:t>
      </w:r>
      <w:proofErr w:type="spellEnd"/>
      <w:r w:rsidRPr="000C2F3B">
        <w:rPr>
          <w:rFonts w:eastAsia="MinionPro-Regular" w:cs="MinionPro-Regular"/>
          <w:szCs w:val="18"/>
          <w:lang w:eastAsia="en-GB"/>
        </w:rPr>
        <w:t>-Pour A.</w:t>
      </w:r>
      <w:r w:rsidR="00A45B8A" w:rsidRPr="000C2F3B">
        <w:rPr>
          <w:rFonts w:eastAsia="MinionPro-Regular" w:cs="MinionPro-Regular"/>
          <w:szCs w:val="18"/>
          <w:lang w:eastAsia="en-GB"/>
        </w:rPr>
        <w:t>,</w:t>
      </w:r>
      <w:r w:rsidRPr="000C2F3B">
        <w:rPr>
          <w:rFonts w:eastAsia="MinionPro-Regular" w:cs="MinionPro-Regular"/>
          <w:szCs w:val="18"/>
          <w:lang w:eastAsia="en-GB"/>
        </w:rPr>
        <w:t xml:space="preserve"> Verma M.</w:t>
      </w:r>
      <w:r w:rsidR="00A45B8A" w:rsidRPr="000C2F3B">
        <w:rPr>
          <w:rFonts w:eastAsia="MinionPro-Regular" w:cs="MinionPro-Regular"/>
          <w:szCs w:val="18"/>
          <w:lang w:eastAsia="en-GB"/>
        </w:rPr>
        <w:t>,</w:t>
      </w:r>
      <w:r w:rsidRPr="000C2F3B">
        <w:rPr>
          <w:rFonts w:eastAsia="MinionPro-Regular" w:cs="MinionPro-Regular"/>
          <w:szCs w:val="18"/>
          <w:lang w:eastAsia="en-GB"/>
        </w:rPr>
        <w:t xml:space="preserve"> </w:t>
      </w:r>
      <w:proofErr w:type="spellStart"/>
      <w:r w:rsidRPr="000C2F3B">
        <w:rPr>
          <w:rFonts w:eastAsia="MinionPro-Regular" w:cs="MinionPro-Regular"/>
          <w:szCs w:val="18"/>
          <w:lang w:eastAsia="en-GB"/>
        </w:rPr>
        <w:t>Surampalli</w:t>
      </w:r>
      <w:proofErr w:type="spellEnd"/>
      <w:r w:rsidRPr="000C2F3B">
        <w:rPr>
          <w:rFonts w:eastAsia="MinionPro-Regular" w:cs="MinionPro-Regular"/>
          <w:szCs w:val="18"/>
          <w:lang w:eastAsia="en-GB"/>
        </w:rPr>
        <w:t xml:space="preserve"> R.Y.</w:t>
      </w:r>
      <w:r w:rsidR="00A45B8A" w:rsidRPr="000C2F3B">
        <w:rPr>
          <w:rFonts w:eastAsia="MinionPro-Regular" w:cs="MinionPro-Regular"/>
          <w:szCs w:val="18"/>
          <w:lang w:eastAsia="en-GB"/>
        </w:rPr>
        <w:t>,</w:t>
      </w:r>
      <w:r w:rsidRPr="000C2F3B">
        <w:rPr>
          <w:rFonts w:eastAsia="MinionPro-Regular" w:cs="MinionPro-Regular"/>
          <w:szCs w:val="18"/>
          <w:lang w:eastAsia="en-GB"/>
        </w:rPr>
        <w:t xml:space="preserve"> </w:t>
      </w:r>
      <w:r w:rsidR="00A858C7" w:rsidRPr="000C2F3B">
        <w:rPr>
          <w:rFonts w:eastAsia="MinionPro-Regular" w:cs="MinionPro-It"/>
          <w:szCs w:val="18"/>
          <w:lang w:eastAsia="en-GB"/>
        </w:rPr>
        <w:t>2019</w:t>
      </w:r>
      <w:r w:rsidR="00AB5AD8" w:rsidRPr="000C2F3B">
        <w:rPr>
          <w:color w:val="EE0000"/>
          <w:szCs w:val="18"/>
        </w:rPr>
        <w:t>,</w:t>
      </w:r>
      <w:r w:rsidR="00A858C7" w:rsidRPr="000C2F3B">
        <w:rPr>
          <w:rFonts w:eastAsia="MinionPro-Regular" w:cs="MinionPro-It"/>
          <w:szCs w:val="18"/>
          <w:lang w:eastAsia="en-GB"/>
        </w:rPr>
        <w:t xml:space="preserve"> </w:t>
      </w:r>
      <w:r w:rsidRPr="000C2F3B">
        <w:rPr>
          <w:rFonts w:eastAsia="MinionPro-Regular" w:cs="MinionPro-Regular"/>
          <w:szCs w:val="18"/>
          <w:lang w:eastAsia="en-GB"/>
        </w:rPr>
        <w:t xml:space="preserve">Fabrication of </w:t>
      </w:r>
      <w:proofErr w:type="spellStart"/>
      <w:r w:rsidRPr="000C2F3B">
        <w:rPr>
          <w:rFonts w:eastAsia="MinionPro-Regular" w:cs="MinionPro-Regular"/>
          <w:szCs w:val="18"/>
          <w:lang w:eastAsia="en-GB"/>
        </w:rPr>
        <w:t>nanobiocatalyst</w:t>
      </w:r>
      <w:proofErr w:type="spellEnd"/>
      <w:r w:rsidRPr="000C2F3B">
        <w:rPr>
          <w:rFonts w:eastAsia="MinionPro-Regular" w:cs="MinionPro-Regular"/>
          <w:szCs w:val="18"/>
          <w:lang w:eastAsia="en-GB"/>
        </w:rPr>
        <w:t xml:space="preserve"> using encapsulated laccase onto chitosan-</w:t>
      </w:r>
      <w:proofErr w:type="spellStart"/>
      <w:r w:rsidRPr="000C2F3B">
        <w:rPr>
          <w:rFonts w:eastAsia="MinionPro-Regular" w:cs="MinionPro-Regular"/>
          <w:szCs w:val="18"/>
          <w:lang w:eastAsia="en-GB"/>
        </w:rPr>
        <w:t>nanobiochar</w:t>
      </w:r>
      <w:proofErr w:type="spellEnd"/>
      <w:r w:rsidRPr="000C2F3B">
        <w:rPr>
          <w:rFonts w:eastAsia="MinionPro-Regular" w:cs="MinionPro-Regular"/>
          <w:szCs w:val="18"/>
          <w:lang w:eastAsia="en-GB"/>
        </w:rPr>
        <w:t xml:space="preserve"> composite</w:t>
      </w:r>
      <w:r w:rsidR="007E2617" w:rsidRPr="000C2F3B">
        <w:rPr>
          <w:rFonts w:eastAsia="MinionPro-Regular" w:cs="MinionPro-Regular"/>
          <w:szCs w:val="18"/>
          <w:lang w:eastAsia="en-GB"/>
        </w:rPr>
        <w:t>,</w:t>
      </w:r>
      <w:r w:rsidRPr="000C2F3B">
        <w:rPr>
          <w:rFonts w:eastAsia="MinionPro-Regular" w:cs="MinionPro-It"/>
          <w:szCs w:val="18"/>
          <w:lang w:eastAsia="en-GB"/>
        </w:rPr>
        <w:t xml:space="preserve"> Int. J. Biol. </w:t>
      </w:r>
      <w:proofErr w:type="spellStart"/>
      <w:r w:rsidRPr="000C2F3B">
        <w:rPr>
          <w:rFonts w:eastAsia="MinionPro-Regular" w:cs="MinionPro-It"/>
          <w:szCs w:val="18"/>
          <w:lang w:eastAsia="en-GB"/>
        </w:rPr>
        <w:t>Macromol</w:t>
      </w:r>
      <w:proofErr w:type="spellEnd"/>
      <w:r w:rsidRPr="000C2F3B">
        <w:rPr>
          <w:rFonts w:eastAsia="MinionPro-Regular" w:cs="MinionPro-It"/>
          <w:szCs w:val="18"/>
          <w:lang w:eastAsia="en-GB"/>
        </w:rPr>
        <w:t>.,</w:t>
      </w:r>
      <w:r w:rsidRPr="000C2F3B">
        <w:rPr>
          <w:rFonts w:eastAsia="MinionPro-Regular" w:cs="MinionPro-Regular"/>
          <w:szCs w:val="18"/>
          <w:lang w:eastAsia="en-GB"/>
        </w:rPr>
        <w:t xml:space="preserve"> 124, 530-536.</w:t>
      </w:r>
    </w:p>
    <w:p w14:paraId="14FE9F92" w14:textId="1C2AC7E0" w:rsidR="007E2617" w:rsidRPr="000C2F3B" w:rsidRDefault="00C040D5" w:rsidP="007E2617">
      <w:pPr>
        <w:pStyle w:val="CETReferencetext"/>
        <w:rPr>
          <w:szCs w:val="18"/>
        </w:rPr>
      </w:pPr>
      <w:r w:rsidRPr="000C2F3B">
        <w:rPr>
          <w:szCs w:val="18"/>
        </w:rPr>
        <w:t>Pandey S.</w:t>
      </w:r>
      <w:r w:rsidR="00A45B8A" w:rsidRPr="000C2F3B">
        <w:rPr>
          <w:szCs w:val="18"/>
        </w:rPr>
        <w:t>,</w:t>
      </w:r>
      <w:r w:rsidRPr="000C2F3B">
        <w:rPr>
          <w:szCs w:val="18"/>
        </w:rPr>
        <w:t xml:space="preserve"> Do J.Y.</w:t>
      </w:r>
      <w:r w:rsidR="00A45B8A" w:rsidRPr="000C2F3B">
        <w:rPr>
          <w:szCs w:val="18"/>
        </w:rPr>
        <w:t>,</w:t>
      </w:r>
      <w:r w:rsidRPr="000C2F3B">
        <w:rPr>
          <w:szCs w:val="18"/>
        </w:rPr>
        <w:t xml:space="preserve"> Kim</w:t>
      </w:r>
      <w:r w:rsidR="00A45B8A" w:rsidRPr="000C2F3B">
        <w:rPr>
          <w:szCs w:val="18"/>
        </w:rPr>
        <w:t xml:space="preserve"> </w:t>
      </w:r>
      <w:r w:rsidRPr="000C2F3B">
        <w:rPr>
          <w:szCs w:val="18"/>
        </w:rPr>
        <w:t>J.</w:t>
      </w:r>
      <w:r w:rsidR="00A45B8A" w:rsidRPr="000C2F3B">
        <w:rPr>
          <w:szCs w:val="18"/>
        </w:rPr>
        <w:t>,</w:t>
      </w:r>
      <w:r w:rsidRPr="000C2F3B">
        <w:rPr>
          <w:szCs w:val="18"/>
        </w:rPr>
        <w:t xml:space="preserve"> Kang M.</w:t>
      </w:r>
      <w:r w:rsidR="00A45B8A" w:rsidRPr="000C2F3B">
        <w:rPr>
          <w:szCs w:val="18"/>
        </w:rPr>
        <w:t>,</w:t>
      </w:r>
      <w:r w:rsidRPr="000C2F3B">
        <w:rPr>
          <w:szCs w:val="18"/>
        </w:rPr>
        <w:t xml:space="preserve"> </w:t>
      </w:r>
      <w:r w:rsidR="00A858C7" w:rsidRPr="000C2F3B">
        <w:rPr>
          <w:szCs w:val="18"/>
        </w:rPr>
        <w:t>2020</w:t>
      </w:r>
      <w:r w:rsidR="00AB5AD8" w:rsidRPr="000C2F3B">
        <w:rPr>
          <w:color w:val="EE0000"/>
          <w:szCs w:val="18"/>
        </w:rPr>
        <w:t>,</w:t>
      </w:r>
      <w:r w:rsidR="00A858C7" w:rsidRPr="000C2F3B">
        <w:rPr>
          <w:szCs w:val="18"/>
        </w:rPr>
        <w:t xml:space="preserve"> </w:t>
      </w:r>
      <w:r w:rsidRPr="000C2F3B">
        <w:rPr>
          <w:szCs w:val="18"/>
        </w:rPr>
        <w:t xml:space="preserve">Fast and highly efficient removal of dye from aqueous solution using natural locust bean </w:t>
      </w:r>
      <w:proofErr w:type="gramStart"/>
      <w:r w:rsidRPr="000C2F3B">
        <w:rPr>
          <w:szCs w:val="18"/>
        </w:rPr>
        <w:t>gum based</w:t>
      </w:r>
      <w:proofErr w:type="gramEnd"/>
      <w:r w:rsidRPr="000C2F3B">
        <w:rPr>
          <w:szCs w:val="18"/>
        </w:rPr>
        <w:t xml:space="preserve"> hydrogels as adsorbent</w:t>
      </w:r>
      <w:r w:rsidR="007E2617" w:rsidRPr="000C2F3B">
        <w:rPr>
          <w:szCs w:val="18"/>
        </w:rPr>
        <w:t>,</w:t>
      </w:r>
      <w:r w:rsidRPr="000C2F3B">
        <w:rPr>
          <w:szCs w:val="18"/>
        </w:rPr>
        <w:t xml:space="preserve"> Int. J. Biol. </w:t>
      </w:r>
      <w:proofErr w:type="spellStart"/>
      <w:r w:rsidRPr="000C2F3B">
        <w:rPr>
          <w:szCs w:val="18"/>
        </w:rPr>
        <w:t>Macromol</w:t>
      </w:r>
      <w:proofErr w:type="spellEnd"/>
      <w:r w:rsidR="00A858C7" w:rsidRPr="000C2F3B">
        <w:rPr>
          <w:szCs w:val="18"/>
        </w:rPr>
        <w:t>.</w:t>
      </w:r>
      <w:r w:rsidRPr="000C2F3B">
        <w:rPr>
          <w:szCs w:val="18"/>
        </w:rPr>
        <w:t>, 143, 60-75.</w:t>
      </w:r>
    </w:p>
    <w:p w14:paraId="5CCC5A72" w14:textId="093B7A54" w:rsidR="007E2617" w:rsidRPr="000C2F3B" w:rsidRDefault="000F10D1" w:rsidP="007E2617">
      <w:pPr>
        <w:pStyle w:val="CETReferencetext"/>
        <w:rPr>
          <w:color w:val="EE0000"/>
        </w:rPr>
      </w:pPr>
      <w:r w:rsidRPr="000C2F3B">
        <w:rPr>
          <w:szCs w:val="18"/>
        </w:rPr>
        <w:t>Pirozzi D.</w:t>
      </w:r>
      <w:r w:rsidR="00A45B8A" w:rsidRPr="000C2F3B">
        <w:rPr>
          <w:szCs w:val="18"/>
        </w:rPr>
        <w:t>,</w:t>
      </w:r>
      <w:r w:rsidRPr="000C2F3B">
        <w:rPr>
          <w:szCs w:val="18"/>
        </w:rPr>
        <w:t xml:space="preserve"> Sannino F.</w:t>
      </w:r>
      <w:r w:rsidR="00A45B8A" w:rsidRPr="000C2F3B">
        <w:rPr>
          <w:szCs w:val="18"/>
        </w:rPr>
        <w:t>,</w:t>
      </w:r>
      <w:r w:rsidRPr="000C2F3B">
        <w:rPr>
          <w:szCs w:val="18"/>
        </w:rPr>
        <w:t xml:space="preserve"> </w:t>
      </w:r>
      <w:r w:rsidR="00A858C7" w:rsidRPr="000C2F3B">
        <w:rPr>
          <w:szCs w:val="18"/>
        </w:rPr>
        <w:t>2014</w:t>
      </w:r>
      <w:r w:rsidR="00AB5AD8" w:rsidRPr="000C2F3B">
        <w:rPr>
          <w:color w:val="EE0000"/>
          <w:szCs w:val="18"/>
        </w:rPr>
        <w:t>,</w:t>
      </w:r>
      <w:r w:rsidR="00A858C7" w:rsidRPr="000C2F3B">
        <w:rPr>
          <w:szCs w:val="18"/>
        </w:rPr>
        <w:t xml:space="preserve"> </w:t>
      </w:r>
      <w:r w:rsidRPr="000C2F3B">
        <w:rPr>
          <w:szCs w:val="18"/>
        </w:rPr>
        <w:t>Design of a multi-stage stirred adsorber using mesoporous metal oxides for herbicide removal from wastewaters</w:t>
      </w:r>
      <w:r w:rsidR="007E2617" w:rsidRPr="000C2F3B">
        <w:rPr>
          <w:szCs w:val="18"/>
        </w:rPr>
        <w:t>,</w:t>
      </w:r>
      <w:r w:rsidRPr="000C2F3B">
        <w:rPr>
          <w:szCs w:val="18"/>
        </w:rPr>
        <w:t xml:space="preserve"> J. Environ. Chem. Eng., 211-219.</w:t>
      </w:r>
    </w:p>
    <w:p w14:paraId="1843C791" w14:textId="65F40ECD" w:rsidR="007E2617" w:rsidRPr="000C2F3B" w:rsidRDefault="003B547F" w:rsidP="007E2617">
      <w:pPr>
        <w:pStyle w:val="CETReferencetext"/>
        <w:rPr>
          <w:szCs w:val="18"/>
        </w:rPr>
      </w:pPr>
      <w:r w:rsidRPr="000C2F3B">
        <w:rPr>
          <w:szCs w:val="18"/>
        </w:rPr>
        <w:t>Rashid R.</w:t>
      </w:r>
      <w:r w:rsidR="00A45B8A" w:rsidRPr="000C2F3B">
        <w:rPr>
          <w:szCs w:val="18"/>
        </w:rPr>
        <w:t>,</w:t>
      </w:r>
      <w:r w:rsidRPr="000C2F3B">
        <w:rPr>
          <w:szCs w:val="18"/>
        </w:rPr>
        <w:t xml:space="preserve"> Shafiq I.</w:t>
      </w:r>
      <w:r w:rsidR="00A45B8A" w:rsidRPr="000C2F3B">
        <w:rPr>
          <w:szCs w:val="18"/>
        </w:rPr>
        <w:t>,</w:t>
      </w:r>
      <w:r w:rsidRPr="000C2F3B">
        <w:rPr>
          <w:szCs w:val="18"/>
        </w:rPr>
        <w:t xml:space="preserve"> Akhter P</w:t>
      </w:r>
      <w:r w:rsidRPr="000C2F3B">
        <w:rPr>
          <w:i/>
          <w:iCs/>
          <w:szCs w:val="18"/>
        </w:rPr>
        <w:t>.</w:t>
      </w:r>
      <w:r w:rsidR="00A45B8A" w:rsidRPr="000C2F3B">
        <w:rPr>
          <w:i/>
          <w:iCs/>
          <w:szCs w:val="18"/>
        </w:rPr>
        <w:t>,</w:t>
      </w:r>
      <w:r w:rsidRPr="000C2F3B">
        <w:rPr>
          <w:szCs w:val="18"/>
        </w:rPr>
        <w:t xml:space="preserve"> </w:t>
      </w:r>
      <w:r w:rsidR="00A858C7" w:rsidRPr="000C2F3B">
        <w:rPr>
          <w:szCs w:val="18"/>
        </w:rPr>
        <w:t>2021</w:t>
      </w:r>
      <w:r w:rsidR="00AB5AD8" w:rsidRPr="000C2F3B">
        <w:rPr>
          <w:color w:val="EE0000"/>
          <w:szCs w:val="18"/>
        </w:rPr>
        <w:t>,</w:t>
      </w:r>
      <w:r w:rsidR="00A858C7" w:rsidRPr="000C2F3B">
        <w:rPr>
          <w:szCs w:val="18"/>
        </w:rPr>
        <w:t xml:space="preserve"> </w:t>
      </w:r>
      <w:r w:rsidRPr="000C2F3B">
        <w:rPr>
          <w:szCs w:val="18"/>
        </w:rPr>
        <w:t>A state-of-the-art review on wastewater treatment techniques: the effectiveness of adsorption method</w:t>
      </w:r>
      <w:r w:rsidR="007E2617" w:rsidRPr="000C2F3B">
        <w:rPr>
          <w:szCs w:val="18"/>
        </w:rPr>
        <w:t>,</w:t>
      </w:r>
      <w:r w:rsidRPr="000C2F3B">
        <w:rPr>
          <w:szCs w:val="18"/>
        </w:rPr>
        <w:t xml:space="preserve"> Environ. Sci. </w:t>
      </w:r>
      <w:proofErr w:type="spellStart"/>
      <w:r w:rsidRPr="000C2F3B">
        <w:rPr>
          <w:szCs w:val="18"/>
        </w:rPr>
        <w:t>Pollut</w:t>
      </w:r>
      <w:proofErr w:type="spellEnd"/>
      <w:r w:rsidRPr="000C2F3B">
        <w:rPr>
          <w:szCs w:val="18"/>
        </w:rPr>
        <w:t>. Res., 28, 9050-9066.</w:t>
      </w:r>
    </w:p>
    <w:p w14:paraId="496F6AA8" w14:textId="222B6D18" w:rsidR="007E2617" w:rsidRPr="000C2F3B" w:rsidRDefault="000F10D1" w:rsidP="007E2617">
      <w:pPr>
        <w:pStyle w:val="CETReferencetext"/>
        <w:rPr>
          <w:szCs w:val="18"/>
        </w:rPr>
      </w:pPr>
      <w:r w:rsidRPr="000C2F3B">
        <w:rPr>
          <w:szCs w:val="18"/>
        </w:rPr>
        <w:t>Sannino F.</w:t>
      </w:r>
      <w:r w:rsidR="00A45B8A" w:rsidRPr="000C2F3B">
        <w:rPr>
          <w:szCs w:val="18"/>
        </w:rPr>
        <w:t>,</w:t>
      </w:r>
      <w:r w:rsidRPr="000C2F3B">
        <w:rPr>
          <w:szCs w:val="18"/>
        </w:rPr>
        <w:t xml:space="preserve"> Pansini M.</w:t>
      </w:r>
      <w:r w:rsidR="00A45B8A" w:rsidRPr="000C2F3B">
        <w:rPr>
          <w:szCs w:val="18"/>
        </w:rPr>
        <w:t>,</w:t>
      </w:r>
      <w:r w:rsidRPr="000C2F3B">
        <w:rPr>
          <w:szCs w:val="18"/>
        </w:rPr>
        <w:t xml:space="preserve"> Marocco A.</w:t>
      </w:r>
      <w:r w:rsidR="00A45B8A" w:rsidRPr="000C2F3B">
        <w:rPr>
          <w:szCs w:val="18"/>
        </w:rPr>
        <w:t>,</w:t>
      </w:r>
      <w:r w:rsidRPr="000C2F3B">
        <w:rPr>
          <w:szCs w:val="18"/>
        </w:rPr>
        <w:t xml:space="preserve"> Cinquegrana A.</w:t>
      </w:r>
      <w:r w:rsidR="00A45B8A" w:rsidRPr="000C2F3B">
        <w:rPr>
          <w:szCs w:val="18"/>
        </w:rPr>
        <w:t>,</w:t>
      </w:r>
      <w:r w:rsidRPr="000C2F3B">
        <w:rPr>
          <w:szCs w:val="18"/>
        </w:rPr>
        <w:t xml:space="preserve"> Esposito S.</w:t>
      </w:r>
      <w:r w:rsidR="004E23B7" w:rsidRPr="000C2F3B">
        <w:rPr>
          <w:szCs w:val="18"/>
        </w:rPr>
        <w:t>,</w:t>
      </w:r>
      <w:r w:rsidRPr="000C2F3B">
        <w:rPr>
          <w:szCs w:val="18"/>
        </w:rPr>
        <w:t xml:space="preserve"> Tammaro O.</w:t>
      </w:r>
      <w:r w:rsidR="004E23B7" w:rsidRPr="000C2F3B">
        <w:rPr>
          <w:szCs w:val="18"/>
        </w:rPr>
        <w:t>,</w:t>
      </w:r>
      <w:r w:rsidRPr="000C2F3B">
        <w:rPr>
          <w:szCs w:val="18"/>
        </w:rPr>
        <w:t xml:space="preserve"> Barrera G.</w:t>
      </w:r>
      <w:r w:rsidR="004E23B7" w:rsidRPr="000C2F3B">
        <w:rPr>
          <w:szCs w:val="18"/>
        </w:rPr>
        <w:t>,</w:t>
      </w:r>
      <w:r w:rsidRPr="000C2F3B">
        <w:rPr>
          <w:szCs w:val="18"/>
        </w:rPr>
        <w:t xml:space="preserve"> </w:t>
      </w:r>
      <w:proofErr w:type="spellStart"/>
      <w:r w:rsidRPr="000C2F3B">
        <w:rPr>
          <w:szCs w:val="18"/>
        </w:rPr>
        <w:t>Tiberto</w:t>
      </w:r>
      <w:proofErr w:type="spellEnd"/>
      <w:r w:rsidRPr="000C2F3B">
        <w:rPr>
          <w:szCs w:val="18"/>
        </w:rPr>
        <w:t xml:space="preserve"> P.</w:t>
      </w:r>
      <w:r w:rsidR="004E23B7" w:rsidRPr="000C2F3B">
        <w:rPr>
          <w:szCs w:val="18"/>
        </w:rPr>
        <w:t>,</w:t>
      </w:r>
      <w:r w:rsidRPr="000C2F3B">
        <w:rPr>
          <w:szCs w:val="18"/>
        </w:rPr>
        <w:t xml:space="preserve"> Allia P.</w:t>
      </w:r>
      <w:r w:rsidR="004E23B7" w:rsidRPr="000C2F3B">
        <w:rPr>
          <w:szCs w:val="18"/>
        </w:rPr>
        <w:t>,</w:t>
      </w:r>
      <w:r w:rsidRPr="000C2F3B">
        <w:rPr>
          <w:szCs w:val="18"/>
        </w:rPr>
        <w:t xml:space="preserve"> Pirozzi D.</w:t>
      </w:r>
      <w:r w:rsidR="004E23B7" w:rsidRPr="000C2F3B">
        <w:rPr>
          <w:szCs w:val="18"/>
        </w:rPr>
        <w:t>,</w:t>
      </w:r>
      <w:r w:rsidRPr="000C2F3B">
        <w:rPr>
          <w:szCs w:val="18"/>
        </w:rPr>
        <w:t xml:space="preserve"> </w:t>
      </w:r>
      <w:r w:rsidR="00A858C7" w:rsidRPr="000C2F3B">
        <w:rPr>
          <w:szCs w:val="18"/>
        </w:rPr>
        <w:t>2022</w:t>
      </w:r>
      <w:r w:rsidR="00AB5AD8" w:rsidRPr="000C2F3B">
        <w:rPr>
          <w:color w:val="EE0000"/>
          <w:szCs w:val="18"/>
        </w:rPr>
        <w:t>,</w:t>
      </w:r>
      <w:r w:rsidR="00A858C7" w:rsidRPr="000C2F3B">
        <w:rPr>
          <w:szCs w:val="18"/>
        </w:rPr>
        <w:t xml:space="preserve"> </w:t>
      </w:r>
      <w:r w:rsidRPr="000C2F3B">
        <w:rPr>
          <w:szCs w:val="18"/>
        </w:rPr>
        <w:t xml:space="preserve">Removal of </w:t>
      </w:r>
      <w:proofErr w:type="spellStart"/>
      <w:r w:rsidRPr="000C2F3B">
        <w:rPr>
          <w:szCs w:val="18"/>
        </w:rPr>
        <w:t>sulfanilamide</w:t>
      </w:r>
      <w:proofErr w:type="spellEnd"/>
      <w:r w:rsidRPr="000C2F3B">
        <w:rPr>
          <w:szCs w:val="18"/>
        </w:rPr>
        <w:t xml:space="preserve"> by tailor-made magnetic metal-ceramic nanocomposite adsorbents</w:t>
      </w:r>
      <w:r w:rsidR="007E2617" w:rsidRPr="000C2F3B">
        <w:rPr>
          <w:szCs w:val="18"/>
        </w:rPr>
        <w:t>,</w:t>
      </w:r>
      <w:r w:rsidRPr="000C2F3B">
        <w:rPr>
          <w:szCs w:val="18"/>
        </w:rPr>
        <w:t xml:space="preserve"> J Environ Managem.</w:t>
      </w:r>
      <w:r w:rsidR="007E2617" w:rsidRPr="000C2F3B">
        <w:rPr>
          <w:szCs w:val="18"/>
        </w:rPr>
        <w:t>,</w:t>
      </w:r>
      <w:r w:rsidRPr="000C2F3B">
        <w:rPr>
          <w:szCs w:val="18"/>
        </w:rPr>
        <w:t xml:space="preserve"> 15, 114701.</w:t>
      </w:r>
    </w:p>
    <w:p w14:paraId="4CF610AB" w14:textId="73CCD2EF" w:rsidR="00C74F39" w:rsidRPr="000C2F3B" w:rsidRDefault="00C74F39" w:rsidP="00C74F39">
      <w:pPr>
        <w:pStyle w:val="CETReferencetext"/>
        <w:rPr>
          <w:color w:val="EE0000"/>
          <w:szCs w:val="18"/>
        </w:rPr>
      </w:pPr>
      <w:r w:rsidRPr="000C2F3B">
        <w:rPr>
          <w:color w:val="EE0000"/>
          <w:szCs w:val="18"/>
        </w:rPr>
        <w:t>Satyam</w:t>
      </w:r>
      <w:r w:rsidRPr="000C2F3B">
        <w:rPr>
          <w:color w:val="EE0000"/>
          <w:szCs w:val="18"/>
        </w:rPr>
        <w:t xml:space="preserve"> S.</w:t>
      </w:r>
      <w:r w:rsidRPr="000C2F3B">
        <w:rPr>
          <w:color w:val="EE0000"/>
          <w:szCs w:val="18"/>
        </w:rPr>
        <w:t>, Patra</w:t>
      </w:r>
      <w:r w:rsidRPr="000C2F3B">
        <w:rPr>
          <w:color w:val="EE0000"/>
          <w:szCs w:val="18"/>
        </w:rPr>
        <w:t xml:space="preserve"> S.</w:t>
      </w:r>
      <w:r w:rsidRPr="000C2F3B">
        <w:rPr>
          <w:color w:val="EE0000"/>
          <w:szCs w:val="18"/>
        </w:rPr>
        <w:t>,</w:t>
      </w:r>
      <w:r w:rsidRPr="000C2F3B">
        <w:rPr>
          <w:color w:val="EE0000"/>
          <w:szCs w:val="18"/>
        </w:rPr>
        <w:t xml:space="preserve"> 2024, </w:t>
      </w:r>
      <w:r w:rsidRPr="000C2F3B">
        <w:rPr>
          <w:color w:val="EE0000"/>
          <w:szCs w:val="18"/>
        </w:rPr>
        <w:t>Innovations and challenges in adsorption-based wastewater remediation: A comprehensive review,</w:t>
      </w:r>
      <w:r w:rsidRPr="000C2F3B">
        <w:rPr>
          <w:color w:val="EE0000"/>
          <w:szCs w:val="18"/>
        </w:rPr>
        <w:t xml:space="preserve"> </w:t>
      </w:r>
      <w:proofErr w:type="spellStart"/>
      <w:r w:rsidRPr="000C2F3B">
        <w:rPr>
          <w:color w:val="EE0000"/>
          <w:szCs w:val="18"/>
        </w:rPr>
        <w:t>Heliyon</w:t>
      </w:r>
      <w:proofErr w:type="spellEnd"/>
      <w:r w:rsidRPr="000C2F3B">
        <w:rPr>
          <w:color w:val="EE0000"/>
          <w:szCs w:val="18"/>
        </w:rPr>
        <w:t>,</w:t>
      </w:r>
      <w:r w:rsidRPr="000C2F3B">
        <w:rPr>
          <w:color w:val="EE0000"/>
          <w:szCs w:val="18"/>
        </w:rPr>
        <w:t xml:space="preserve"> </w:t>
      </w:r>
      <w:r w:rsidRPr="000C2F3B">
        <w:rPr>
          <w:color w:val="EE0000"/>
          <w:szCs w:val="18"/>
        </w:rPr>
        <w:t>10</w:t>
      </w:r>
      <w:r w:rsidRPr="000C2F3B">
        <w:rPr>
          <w:color w:val="EE0000"/>
          <w:szCs w:val="18"/>
        </w:rPr>
        <w:t>(</w:t>
      </w:r>
      <w:r w:rsidRPr="000C2F3B">
        <w:rPr>
          <w:color w:val="EE0000"/>
          <w:szCs w:val="18"/>
        </w:rPr>
        <w:t>9</w:t>
      </w:r>
      <w:r w:rsidRPr="000C2F3B">
        <w:rPr>
          <w:color w:val="EE0000"/>
          <w:szCs w:val="18"/>
        </w:rPr>
        <w:t>)</w:t>
      </w:r>
      <w:r w:rsidRPr="000C2F3B">
        <w:rPr>
          <w:color w:val="EE0000"/>
          <w:szCs w:val="18"/>
        </w:rPr>
        <w:t>,</w:t>
      </w:r>
      <w:r w:rsidRPr="000C2F3B">
        <w:rPr>
          <w:color w:val="EE0000"/>
          <w:szCs w:val="18"/>
        </w:rPr>
        <w:t xml:space="preserve"> </w:t>
      </w:r>
      <w:r w:rsidRPr="000C2F3B">
        <w:rPr>
          <w:color w:val="EE0000"/>
          <w:szCs w:val="18"/>
        </w:rPr>
        <w:t>e29573</w:t>
      </w:r>
      <w:r w:rsidRPr="000C2F3B">
        <w:rPr>
          <w:color w:val="EE0000"/>
          <w:szCs w:val="18"/>
        </w:rPr>
        <w:t>.</w:t>
      </w:r>
    </w:p>
    <w:p w14:paraId="361F2A68" w14:textId="46214976" w:rsidR="00553243" w:rsidRPr="000C2F3B" w:rsidRDefault="00553243" w:rsidP="007E2617">
      <w:pPr>
        <w:pStyle w:val="CETReferencetext"/>
        <w:rPr>
          <w:color w:val="EE0000"/>
        </w:rPr>
      </w:pPr>
      <w:r w:rsidRPr="000C2F3B">
        <w:rPr>
          <w:color w:val="EE0000"/>
        </w:rPr>
        <w:t xml:space="preserve">Stoller M., Vuppala S., Cheng C., Traore M., Marchetti A., </w:t>
      </w:r>
      <w:proofErr w:type="spellStart"/>
      <w:r w:rsidRPr="000C2F3B">
        <w:rPr>
          <w:color w:val="EE0000"/>
        </w:rPr>
        <w:t>Kanaev</w:t>
      </w:r>
      <w:proofErr w:type="spellEnd"/>
      <w:r w:rsidRPr="000C2F3B">
        <w:rPr>
          <w:color w:val="EE0000"/>
        </w:rPr>
        <w:t xml:space="preserve"> A., </w:t>
      </w:r>
      <w:proofErr w:type="spellStart"/>
      <w:r w:rsidRPr="000C2F3B">
        <w:rPr>
          <w:color w:val="EE0000"/>
        </w:rPr>
        <w:t>Chiavola</w:t>
      </w:r>
      <w:proofErr w:type="spellEnd"/>
      <w:r w:rsidRPr="000C2F3B">
        <w:rPr>
          <w:color w:val="EE0000"/>
        </w:rPr>
        <w:t xml:space="preserve"> A., 2019, Design of Novel Equipment Capable to Quickly Produce Efficient Nanomaterials for Use in Environmental and Sanitary Emergencies, Chemical Engineering Transactions, 73, 187-192.</w:t>
      </w:r>
    </w:p>
    <w:p w14:paraId="5E937AE6" w14:textId="1423E675" w:rsidR="00B204E3" w:rsidRPr="000C2F3B" w:rsidRDefault="00B77DDE" w:rsidP="009A79C5">
      <w:pPr>
        <w:pStyle w:val="CETReferencetext"/>
        <w:rPr>
          <w:szCs w:val="18"/>
        </w:rPr>
      </w:pPr>
      <w:proofErr w:type="spellStart"/>
      <w:r w:rsidRPr="000C2F3B">
        <w:rPr>
          <w:szCs w:val="18"/>
        </w:rPr>
        <w:t>Strokal</w:t>
      </w:r>
      <w:proofErr w:type="spellEnd"/>
      <w:r w:rsidRPr="000C2F3B">
        <w:rPr>
          <w:szCs w:val="18"/>
        </w:rPr>
        <w:t xml:space="preserve"> M.</w:t>
      </w:r>
      <w:r w:rsidR="004E23B7" w:rsidRPr="000C2F3B">
        <w:rPr>
          <w:szCs w:val="18"/>
        </w:rPr>
        <w:t>,</w:t>
      </w:r>
      <w:r w:rsidRPr="000C2F3B">
        <w:rPr>
          <w:szCs w:val="18"/>
        </w:rPr>
        <w:t xml:space="preserve"> </w:t>
      </w:r>
      <w:proofErr w:type="spellStart"/>
      <w:r w:rsidRPr="000C2F3B">
        <w:rPr>
          <w:szCs w:val="18"/>
        </w:rPr>
        <w:t>Croeze</w:t>
      </w:r>
      <w:proofErr w:type="spellEnd"/>
      <w:r w:rsidRPr="000C2F3B">
        <w:rPr>
          <w:szCs w:val="18"/>
        </w:rPr>
        <w:t xml:space="preserve"> C.</w:t>
      </w:r>
      <w:r w:rsidR="004E23B7" w:rsidRPr="000C2F3B">
        <w:rPr>
          <w:szCs w:val="18"/>
        </w:rPr>
        <w:t>,</w:t>
      </w:r>
      <w:r w:rsidRPr="000C2F3B">
        <w:rPr>
          <w:szCs w:val="18"/>
        </w:rPr>
        <w:t xml:space="preserve"> </w:t>
      </w:r>
      <w:r w:rsidR="00A858C7" w:rsidRPr="000C2F3B">
        <w:rPr>
          <w:szCs w:val="18"/>
        </w:rPr>
        <w:t>2020</w:t>
      </w:r>
      <w:r w:rsidR="00AB5AD8" w:rsidRPr="000C2F3B">
        <w:rPr>
          <w:color w:val="EE0000"/>
          <w:szCs w:val="18"/>
        </w:rPr>
        <w:t>,</w:t>
      </w:r>
      <w:r w:rsidR="00A858C7" w:rsidRPr="000C2F3B">
        <w:rPr>
          <w:szCs w:val="18"/>
        </w:rPr>
        <w:t xml:space="preserve"> </w:t>
      </w:r>
      <w:r w:rsidRPr="000C2F3B">
        <w:rPr>
          <w:szCs w:val="18"/>
        </w:rPr>
        <w:t>Water, society and pollution in an urbanizing world: recent developments and future challenge</w:t>
      </w:r>
      <w:r w:rsidR="007E2617" w:rsidRPr="000C2F3B">
        <w:rPr>
          <w:szCs w:val="18"/>
        </w:rPr>
        <w:t xml:space="preserve">, </w:t>
      </w:r>
      <w:r w:rsidRPr="000C2F3B">
        <w:rPr>
          <w:szCs w:val="18"/>
        </w:rPr>
        <w:t xml:space="preserve">Curr. </w:t>
      </w:r>
      <w:proofErr w:type="spellStart"/>
      <w:r w:rsidRPr="000C2F3B">
        <w:rPr>
          <w:szCs w:val="18"/>
        </w:rPr>
        <w:t>Opin</w:t>
      </w:r>
      <w:proofErr w:type="spellEnd"/>
      <w:r w:rsidRPr="000C2F3B">
        <w:rPr>
          <w:szCs w:val="18"/>
        </w:rPr>
        <w:t>. Environ. Sustain., 46, 11-15.</w:t>
      </w:r>
    </w:p>
    <w:p w14:paraId="5F9831A8" w14:textId="66FEB805" w:rsidR="00B204E3" w:rsidRPr="000C2F3B" w:rsidRDefault="00B204E3" w:rsidP="009A79C5">
      <w:pPr>
        <w:pStyle w:val="CETReferencetext"/>
        <w:rPr>
          <w:color w:val="EE0000"/>
          <w:szCs w:val="18"/>
        </w:rPr>
      </w:pPr>
      <w:r w:rsidRPr="000C2F3B">
        <w:rPr>
          <w:color w:val="EE0000"/>
          <w:szCs w:val="18"/>
        </w:rPr>
        <w:t>Wang</w:t>
      </w:r>
      <w:r w:rsidRPr="000C2F3B">
        <w:rPr>
          <w:color w:val="EE0000"/>
          <w:szCs w:val="18"/>
        </w:rPr>
        <w:t xml:space="preserve"> M.</w:t>
      </w:r>
      <w:r w:rsidRPr="000C2F3B">
        <w:rPr>
          <w:color w:val="EE0000"/>
          <w:szCs w:val="18"/>
        </w:rPr>
        <w:t>, Ren</w:t>
      </w:r>
      <w:r w:rsidRPr="000C2F3B">
        <w:rPr>
          <w:color w:val="EE0000"/>
          <w:szCs w:val="18"/>
        </w:rPr>
        <w:t xml:space="preserve"> J.</w:t>
      </w:r>
      <w:r w:rsidRPr="000C2F3B">
        <w:rPr>
          <w:color w:val="EE0000"/>
          <w:szCs w:val="18"/>
        </w:rPr>
        <w:t>, Ding</w:t>
      </w:r>
      <w:r w:rsidRPr="000C2F3B">
        <w:rPr>
          <w:color w:val="EE0000"/>
          <w:szCs w:val="18"/>
        </w:rPr>
        <w:t xml:space="preserve"> A.</w:t>
      </w:r>
      <w:r w:rsidRPr="000C2F3B">
        <w:rPr>
          <w:color w:val="EE0000"/>
          <w:szCs w:val="18"/>
        </w:rPr>
        <w:t>, Zhao</w:t>
      </w:r>
      <w:r w:rsidRPr="000C2F3B">
        <w:rPr>
          <w:color w:val="EE0000"/>
          <w:szCs w:val="18"/>
        </w:rPr>
        <w:t xml:space="preserve"> W.</w:t>
      </w:r>
      <w:r w:rsidRPr="000C2F3B">
        <w:rPr>
          <w:color w:val="EE0000"/>
          <w:szCs w:val="18"/>
        </w:rPr>
        <w:t>, Zhao</w:t>
      </w:r>
      <w:r w:rsidRPr="000C2F3B">
        <w:rPr>
          <w:color w:val="EE0000"/>
          <w:szCs w:val="18"/>
        </w:rPr>
        <w:t xml:space="preserve"> X.</w:t>
      </w:r>
      <w:r w:rsidRPr="000C2F3B">
        <w:rPr>
          <w:color w:val="EE0000"/>
          <w:szCs w:val="18"/>
        </w:rPr>
        <w:t>, Liu</w:t>
      </w:r>
      <w:r w:rsidRPr="000C2F3B">
        <w:rPr>
          <w:color w:val="EE0000"/>
          <w:szCs w:val="18"/>
        </w:rPr>
        <w:t xml:space="preserve"> W.</w:t>
      </w:r>
      <w:r w:rsidRPr="000C2F3B">
        <w:rPr>
          <w:color w:val="EE0000"/>
          <w:szCs w:val="18"/>
        </w:rPr>
        <w:t>, Bai</w:t>
      </w:r>
      <w:r w:rsidRPr="000C2F3B">
        <w:rPr>
          <w:color w:val="EE0000"/>
          <w:szCs w:val="18"/>
        </w:rPr>
        <w:t xml:space="preserve"> Y.</w:t>
      </w:r>
      <w:r w:rsidRPr="000C2F3B">
        <w:rPr>
          <w:color w:val="EE0000"/>
          <w:szCs w:val="18"/>
        </w:rPr>
        <w:t>, Ren</w:t>
      </w:r>
      <w:r w:rsidR="009A79C5" w:rsidRPr="000C2F3B">
        <w:rPr>
          <w:color w:val="EE0000"/>
          <w:szCs w:val="18"/>
        </w:rPr>
        <w:t xml:space="preserve"> L.</w:t>
      </w:r>
      <w:r w:rsidRPr="000C2F3B">
        <w:rPr>
          <w:color w:val="EE0000"/>
          <w:szCs w:val="18"/>
        </w:rPr>
        <w:t>, Wang</w:t>
      </w:r>
      <w:r w:rsidR="009A79C5" w:rsidRPr="000C2F3B">
        <w:rPr>
          <w:color w:val="EE0000"/>
          <w:szCs w:val="18"/>
        </w:rPr>
        <w:t xml:space="preserve"> S.</w:t>
      </w:r>
      <w:r w:rsidRPr="000C2F3B">
        <w:rPr>
          <w:color w:val="EE0000"/>
          <w:szCs w:val="18"/>
        </w:rPr>
        <w:t>, Wen</w:t>
      </w:r>
      <w:r w:rsidR="009A79C5" w:rsidRPr="000C2F3B">
        <w:rPr>
          <w:color w:val="EE0000"/>
          <w:szCs w:val="18"/>
        </w:rPr>
        <w:t xml:space="preserve"> Y.</w:t>
      </w:r>
      <w:r w:rsidRPr="000C2F3B">
        <w:rPr>
          <w:color w:val="EE0000"/>
          <w:szCs w:val="18"/>
        </w:rPr>
        <w:t>, Yang</w:t>
      </w:r>
      <w:r w:rsidR="009A79C5" w:rsidRPr="000C2F3B">
        <w:rPr>
          <w:color w:val="EE0000"/>
          <w:szCs w:val="18"/>
        </w:rPr>
        <w:t xml:space="preserve"> B.</w:t>
      </w:r>
      <w:r w:rsidRPr="000C2F3B">
        <w:rPr>
          <w:color w:val="EE0000"/>
          <w:szCs w:val="18"/>
        </w:rPr>
        <w:t>,</w:t>
      </w:r>
      <w:r w:rsidR="009A79C5" w:rsidRPr="000C2F3B">
        <w:rPr>
          <w:color w:val="EE0000"/>
          <w:szCs w:val="18"/>
        </w:rPr>
        <w:t xml:space="preserve"> 2023. </w:t>
      </w:r>
      <w:r w:rsidRPr="000C2F3B">
        <w:rPr>
          <w:color w:val="EE0000"/>
          <w:szCs w:val="18"/>
        </w:rPr>
        <w:t>Water quality degradation drives the release and fractionation transformation of trace metals in sediment,</w:t>
      </w:r>
      <w:r w:rsidR="009A79C5" w:rsidRPr="000C2F3B">
        <w:rPr>
          <w:color w:val="EE0000"/>
          <w:szCs w:val="18"/>
        </w:rPr>
        <w:t xml:space="preserve"> </w:t>
      </w:r>
      <w:r w:rsidRPr="000C2F3B">
        <w:rPr>
          <w:color w:val="EE0000"/>
          <w:szCs w:val="18"/>
        </w:rPr>
        <w:t>Science of The Total Environment,</w:t>
      </w:r>
      <w:r w:rsidR="009A79C5" w:rsidRPr="000C2F3B">
        <w:rPr>
          <w:color w:val="EE0000"/>
          <w:szCs w:val="18"/>
        </w:rPr>
        <w:t xml:space="preserve"> </w:t>
      </w:r>
      <w:r w:rsidRPr="000C2F3B">
        <w:rPr>
          <w:color w:val="EE0000"/>
          <w:szCs w:val="18"/>
        </w:rPr>
        <w:t>858</w:t>
      </w:r>
      <w:r w:rsidR="009A79C5" w:rsidRPr="000C2F3B">
        <w:rPr>
          <w:color w:val="EE0000"/>
          <w:szCs w:val="18"/>
        </w:rPr>
        <w:t>(</w:t>
      </w:r>
      <w:r w:rsidRPr="000C2F3B">
        <w:rPr>
          <w:color w:val="EE0000"/>
          <w:szCs w:val="18"/>
        </w:rPr>
        <w:t>1</w:t>
      </w:r>
      <w:r w:rsidR="009A79C5" w:rsidRPr="000C2F3B">
        <w:rPr>
          <w:color w:val="EE0000"/>
          <w:szCs w:val="18"/>
        </w:rPr>
        <w:t>)</w:t>
      </w:r>
      <w:r w:rsidRPr="000C2F3B">
        <w:rPr>
          <w:color w:val="EE0000"/>
          <w:szCs w:val="18"/>
        </w:rPr>
        <w:t>,</w:t>
      </w:r>
      <w:r w:rsidR="009A79C5" w:rsidRPr="000C2F3B">
        <w:rPr>
          <w:color w:val="EE0000"/>
          <w:szCs w:val="18"/>
        </w:rPr>
        <w:t xml:space="preserve"> </w:t>
      </w:r>
      <w:r w:rsidRPr="000C2F3B">
        <w:rPr>
          <w:color w:val="EE0000"/>
          <w:szCs w:val="18"/>
        </w:rPr>
        <w:t>159504</w:t>
      </w:r>
      <w:r w:rsidR="00CE0683" w:rsidRPr="000C2F3B">
        <w:rPr>
          <w:color w:val="EE0000"/>
          <w:szCs w:val="18"/>
        </w:rPr>
        <w:t>.</w:t>
      </w:r>
    </w:p>
    <w:p w14:paraId="2AE4A633" w14:textId="0713A666" w:rsidR="00CE0683" w:rsidRPr="000C2F3B" w:rsidRDefault="00CE0683" w:rsidP="009A79C5">
      <w:pPr>
        <w:pStyle w:val="CETReferencetext"/>
        <w:rPr>
          <w:color w:val="EE0000"/>
          <w:szCs w:val="18"/>
        </w:rPr>
      </w:pPr>
      <w:r w:rsidRPr="000C2F3B">
        <w:rPr>
          <w:color w:val="EE0000"/>
        </w:rPr>
        <w:t>Yang, S.J.; Eom, J.Y.; Lee, M.J.; Hwang, D.H.; Park, W.B.; Wie, Y.M.; Lee, K.G.; Lee, K.H.</w:t>
      </w:r>
      <w:r w:rsidRPr="000C2F3B">
        <w:rPr>
          <w:color w:val="EE0000"/>
        </w:rPr>
        <w:t>, 2024,</w:t>
      </w:r>
      <w:r w:rsidRPr="000C2F3B">
        <w:rPr>
          <w:color w:val="EE0000"/>
        </w:rPr>
        <w:t xml:space="preserve"> Comparative Environmental Evaluation of Sewage Sludge Treatment and Aggregate Production Process by Life Cycle Assessment</w:t>
      </w:r>
      <w:r w:rsidRPr="000C2F3B">
        <w:rPr>
          <w:color w:val="EE0000"/>
        </w:rPr>
        <w:t xml:space="preserve">, </w:t>
      </w:r>
      <w:r w:rsidRPr="000C2F3B">
        <w:rPr>
          <w:rStyle w:val="Enfasicorsivo"/>
          <w:i w:val="0"/>
          <w:iCs w:val="0"/>
          <w:color w:val="EE0000"/>
        </w:rPr>
        <w:t>Sustainability</w:t>
      </w:r>
      <w:r w:rsidRPr="000C2F3B">
        <w:rPr>
          <w:color w:val="EE0000"/>
        </w:rPr>
        <w:t xml:space="preserve">, </w:t>
      </w:r>
      <w:r w:rsidRPr="000C2F3B">
        <w:rPr>
          <w:rStyle w:val="Enfasicorsivo"/>
          <w:i w:val="0"/>
          <w:iCs w:val="0"/>
          <w:color w:val="EE0000"/>
        </w:rPr>
        <w:t>16</w:t>
      </w:r>
      <w:r w:rsidRPr="000C2F3B">
        <w:rPr>
          <w:i/>
          <w:iCs/>
          <w:color w:val="EE0000"/>
        </w:rPr>
        <w:t xml:space="preserve">, </w:t>
      </w:r>
      <w:r w:rsidRPr="000C2F3B">
        <w:rPr>
          <w:color w:val="EE0000"/>
        </w:rPr>
        <w:t>226.</w:t>
      </w:r>
    </w:p>
    <w:p w14:paraId="5D94E73A" w14:textId="50AE2D35" w:rsidR="00B77DDE" w:rsidRPr="000C2F3B" w:rsidRDefault="003B547F" w:rsidP="004E065D">
      <w:pPr>
        <w:pStyle w:val="CETReferencetext"/>
        <w:rPr>
          <w:color w:val="EE0000"/>
        </w:rPr>
      </w:pPr>
      <w:r w:rsidRPr="000C2F3B">
        <w:rPr>
          <w:szCs w:val="18"/>
        </w:rPr>
        <w:t>Zhang H.</w:t>
      </w:r>
      <w:r w:rsidR="004E23B7" w:rsidRPr="000C2F3B">
        <w:rPr>
          <w:szCs w:val="18"/>
        </w:rPr>
        <w:t>,</w:t>
      </w:r>
      <w:r w:rsidRPr="000C2F3B">
        <w:rPr>
          <w:szCs w:val="18"/>
        </w:rPr>
        <w:t xml:space="preserve"> Wu J.R.</w:t>
      </w:r>
      <w:r w:rsidR="004E23B7" w:rsidRPr="000C2F3B">
        <w:rPr>
          <w:szCs w:val="18"/>
        </w:rPr>
        <w:t>,</w:t>
      </w:r>
      <w:r w:rsidRPr="000C2F3B">
        <w:rPr>
          <w:szCs w:val="18"/>
        </w:rPr>
        <w:t xml:space="preserve"> Wang X.</w:t>
      </w:r>
      <w:r w:rsidR="004E23B7" w:rsidRPr="000C2F3B">
        <w:rPr>
          <w:szCs w:val="18"/>
        </w:rPr>
        <w:t>,</w:t>
      </w:r>
      <w:r w:rsidRPr="000C2F3B">
        <w:rPr>
          <w:szCs w:val="18"/>
        </w:rPr>
        <w:t xml:space="preserve"> Li X.S.</w:t>
      </w:r>
      <w:r w:rsidR="004E23B7" w:rsidRPr="000C2F3B">
        <w:rPr>
          <w:szCs w:val="18"/>
        </w:rPr>
        <w:t>,</w:t>
      </w:r>
      <w:r w:rsidRPr="000C2F3B">
        <w:rPr>
          <w:szCs w:val="18"/>
        </w:rPr>
        <w:t xml:space="preserve"> Wu M.X.</w:t>
      </w:r>
      <w:r w:rsidR="004E23B7" w:rsidRPr="000C2F3B">
        <w:rPr>
          <w:szCs w:val="18"/>
        </w:rPr>
        <w:t>,</w:t>
      </w:r>
      <w:r w:rsidRPr="000C2F3B">
        <w:rPr>
          <w:szCs w:val="18"/>
        </w:rPr>
        <w:t xml:space="preserve"> Liang </w:t>
      </w:r>
      <w:proofErr w:type="spellStart"/>
      <w:proofErr w:type="gramStart"/>
      <w:r w:rsidRPr="000C2F3B">
        <w:rPr>
          <w:szCs w:val="18"/>
        </w:rPr>
        <w:t>F.Yang</w:t>
      </w:r>
      <w:proofErr w:type="spellEnd"/>
      <w:proofErr w:type="gramEnd"/>
      <w:r w:rsidRPr="000C2F3B">
        <w:rPr>
          <w:szCs w:val="18"/>
        </w:rPr>
        <w:t xml:space="preserve"> Y.W.</w:t>
      </w:r>
      <w:r w:rsidR="004E23B7" w:rsidRPr="000C2F3B">
        <w:rPr>
          <w:szCs w:val="18"/>
        </w:rPr>
        <w:t>,</w:t>
      </w:r>
      <w:r w:rsidRPr="000C2F3B">
        <w:rPr>
          <w:szCs w:val="18"/>
        </w:rPr>
        <w:t xml:space="preserve"> </w:t>
      </w:r>
      <w:r w:rsidR="00A858C7" w:rsidRPr="000C2F3B">
        <w:rPr>
          <w:szCs w:val="18"/>
        </w:rPr>
        <w:t>2019</w:t>
      </w:r>
      <w:r w:rsidR="00AB5AD8" w:rsidRPr="000C2F3B">
        <w:rPr>
          <w:color w:val="EE0000"/>
          <w:szCs w:val="18"/>
        </w:rPr>
        <w:t>,</w:t>
      </w:r>
      <w:r w:rsidR="00A858C7" w:rsidRPr="000C2F3B">
        <w:rPr>
          <w:szCs w:val="18"/>
        </w:rPr>
        <w:t xml:space="preserve"> </w:t>
      </w:r>
      <w:r w:rsidRPr="000C2F3B">
        <w:rPr>
          <w:szCs w:val="18"/>
        </w:rPr>
        <w:t xml:space="preserve">One-pot solvothermal synthesis of </w:t>
      </w:r>
      <w:proofErr w:type="spellStart"/>
      <w:proofErr w:type="gramStart"/>
      <w:r w:rsidRPr="000C2F3B">
        <w:rPr>
          <w:szCs w:val="18"/>
        </w:rPr>
        <w:t>carboxylatopillar</w:t>
      </w:r>
      <w:proofErr w:type="spellEnd"/>
      <w:r w:rsidRPr="000C2F3B">
        <w:rPr>
          <w:szCs w:val="18"/>
        </w:rPr>
        <w:t>[5]arene</w:t>
      </w:r>
      <w:proofErr w:type="gramEnd"/>
      <w:r w:rsidRPr="000C2F3B">
        <w:rPr>
          <w:szCs w:val="18"/>
        </w:rPr>
        <w:t>-</w:t>
      </w:r>
      <w:proofErr w:type="spellStart"/>
      <w:r w:rsidRPr="000C2F3B">
        <w:rPr>
          <w:szCs w:val="18"/>
        </w:rPr>
        <w:t>modifed</w:t>
      </w:r>
      <w:proofErr w:type="spellEnd"/>
      <w:r w:rsidRPr="000C2F3B">
        <w:rPr>
          <w:szCs w:val="18"/>
        </w:rPr>
        <w:t xml:space="preserve"> Fe</w:t>
      </w:r>
      <w:r w:rsidRPr="000C2F3B">
        <w:rPr>
          <w:szCs w:val="18"/>
          <w:vertAlign w:val="subscript"/>
        </w:rPr>
        <w:t>3</w:t>
      </w:r>
      <w:r w:rsidRPr="000C2F3B">
        <w:rPr>
          <w:szCs w:val="18"/>
        </w:rPr>
        <w:t>O</w:t>
      </w:r>
      <w:r w:rsidRPr="000C2F3B">
        <w:rPr>
          <w:szCs w:val="18"/>
          <w:vertAlign w:val="subscript"/>
        </w:rPr>
        <w:t>4</w:t>
      </w:r>
      <w:r w:rsidRPr="000C2F3B">
        <w:rPr>
          <w:szCs w:val="18"/>
        </w:rPr>
        <w:t xml:space="preserve"> magnetic nanoparticles for ultrafast separation of cationic dyes</w:t>
      </w:r>
      <w:r w:rsidR="007E2617" w:rsidRPr="000C2F3B">
        <w:rPr>
          <w:szCs w:val="18"/>
        </w:rPr>
        <w:t>,</w:t>
      </w:r>
      <w:r w:rsidRPr="000C2F3B">
        <w:rPr>
          <w:szCs w:val="18"/>
        </w:rPr>
        <w:t xml:space="preserve"> Dyes </w:t>
      </w:r>
      <w:proofErr w:type="spellStart"/>
      <w:r w:rsidRPr="000C2F3B">
        <w:rPr>
          <w:szCs w:val="18"/>
        </w:rPr>
        <w:t>Pigm</w:t>
      </w:r>
      <w:proofErr w:type="spellEnd"/>
      <w:r w:rsidRPr="000C2F3B">
        <w:rPr>
          <w:szCs w:val="18"/>
        </w:rPr>
        <w:t>., 162, 512-516.</w:t>
      </w:r>
      <w:r w:rsidR="00E66A9A" w:rsidRPr="000C2F3B">
        <w:rPr>
          <w:color w:val="EE0000"/>
        </w:rPr>
        <w:t xml:space="preserve"> </w:t>
      </w:r>
    </w:p>
    <w:sectPr w:rsidR="00B77DDE" w:rsidRPr="000C2F3B"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09C6" w14:textId="77777777" w:rsidR="00AC1EC8" w:rsidRDefault="00AC1EC8" w:rsidP="004F5E36">
      <w:r>
        <w:separator/>
      </w:r>
    </w:p>
  </w:endnote>
  <w:endnote w:type="continuationSeparator" w:id="0">
    <w:p w14:paraId="754CBD60" w14:textId="77777777" w:rsidR="00AC1EC8" w:rsidRDefault="00AC1EC8"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dvP6960">
    <w:altName w:val="Cambria"/>
    <w:panose1 w:val="020B0604020202020204"/>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Pro-Regular">
    <w:altName w:val="Yu Gothic"/>
    <w:panose1 w:val="020B0604020202020204"/>
    <w:charset w:val="80"/>
    <w:family w:val="roman"/>
    <w:notTrueType/>
    <w:pitch w:val="default"/>
    <w:sig w:usb0="00000001" w:usb1="08070000" w:usb2="00000010" w:usb3="00000000" w:csb0="00020000" w:csb1="00000000"/>
  </w:font>
  <w:font w:name="MinionPro-It">
    <w:altName w:val="Cambria"/>
    <w:panose1 w:val="020B06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4F67" w14:textId="77777777" w:rsidR="00AC1EC8" w:rsidRDefault="00AC1EC8" w:rsidP="004F5E36">
      <w:r>
        <w:separator/>
      </w:r>
    </w:p>
  </w:footnote>
  <w:footnote w:type="continuationSeparator" w:id="0">
    <w:p w14:paraId="25E50885" w14:textId="77777777" w:rsidR="00AC1EC8" w:rsidRDefault="00AC1EC8"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4FE289E"/>
    <w:multiLevelType w:val="hybridMultilevel"/>
    <w:tmpl w:val="FC248A52"/>
    <w:lvl w:ilvl="0" w:tplc="833C2FD2">
      <w:start w:val="1"/>
      <w:numFmt w:val="bullet"/>
      <w:lvlText w:val="ü"/>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414806"/>
    <w:multiLevelType w:val="multilevel"/>
    <w:tmpl w:val="F05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21467"/>
    <w:multiLevelType w:val="multilevel"/>
    <w:tmpl w:val="F05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8217E"/>
    <w:multiLevelType w:val="multilevel"/>
    <w:tmpl w:val="6512F3D8"/>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262649AC"/>
    <w:multiLevelType w:val="multilevel"/>
    <w:tmpl w:val="F05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CE23A6C"/>
    <w:multiLevelType w:val="multilevel"/>
    <w:tmpl w:val="F05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F6702"/>
    <w:multiLevelType w:val="hybridMultilevel"/>
    <w:tmpl w:val="7FEE725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BB22B9"/>
    <w:multiLevelType w:val="multilevel"/>
    <w:tmpl w:val="F05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5"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3"/>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24"/>
  </w:num>
  <w:num w:numId="13" w16cid:durableId="695733619">
    <w:abstractNumId w:val="16"/>
  </w:num>
  <w:num w:numId="14" w16cid:durableId="145903400">
    <w:abstractNumId w:val="25"/>
  </w:num>
  <w:num w:numId="15" w16cid:durableId="19162326">
    <w:abstractNumId w:val="27"/>
  </w:num>
  <w:num w:numId="16" w16cid:durableId="1977102699">
    <w:abstractNumId w:val="26"/>
  </w:num>
  <w:num w:numId="17" w16cid:durableId="860774865">
    <w:abstractNumId w:val="15"/>
  </w:num>
  <w:num w:numId="18" w16cid:durableId="313221457">
    <w:abstractNumId w:val="16"/>
    <w:lvlOverride w:ilvl="0">
      <w:startOverride w:val="1"/>
    </w:lvlOverride>
  </w:num>
  <w:num w:numId="19" w16cid:durableId="534971577">
    <w:abstractNumId w:val="22"/>
  </w:num>
  <w:num w:numId="20" w16cid:durableId="1150947773">
    <w:abstractNumId w:val="21"/>
  </w:num>
  <w:num w:numId="21" w16cid:durableId="124660497">
    <w:abstractNumId w:val="18"/>
  </w:num>
  <w:num w:numId="22" w16cid:durableId="2099861471">
    <w:abstractNumId w:val="17"/>
  </w:num>
  <w:num w:numId="23" w16cid:durableId="2026132757">
    <w:abstractNumId w:val="12"/>
  </w:num>
  <w:num w:numId="24" w16cid:durableId="957491680">
    <w:abstractNumId w:val="23"/>
  </w:num>
  <w:num w:numId="25" w16cid:durableId="281570962">
    <w:abstractNumId w:val="14"/>
  </w:num>
  <w:num w:numId="26" w16cid:durableId="1628700787">
    <w:abstractNumId w:val="11"/>
  </w:num>
  <w:num w:numId="27" w16cid:durableId="1200246010">
    <w:abstractNumId w:val="19"/>
  </w:num>
  <w:num w:numId="28" w16cid:durableId="2076661325">
    <w:abstractNumId w:val="10"/>
  </w:num>
  <w:num w:numId="29" w16cid:durableId="20135597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11B2D"/>
    <w:rsid w:val="0003148D"/>
    <w:rsid w:val="000318C4"/>
    <w:rsid w:val="00031EEC"/>
    <w:rsid w:val="00051566"/>
    <w:rsid w:val="000562A9"/>
    <w:rsid w:val="00062A9A"/>
    <w:rsid w:val="00065058"/>
    <w:rsid w:val="00086C39"/>
    <w:rsid w:val="000A03B2"/>
    <w:rsid w:val="000A093D"/>
    <w:rsid w:val="000C2F3B"/>
    <w:rsid w:val="000C5719"/>
    <w:rsid w:val="000D0268"/>
    <w:rsid w:val="000D34BE"/>
    <w:rsid w:val="000E102F"/>
    <w:rsid w:val="000E36F1"/>
    <w:rsid w:val="000E3A73"/>
    <w:rsid w:val="000E414A"/>
    <w:rsid w:val="000E75FD"/>
    <w:rsid w:val="000F093C"/>
    <w:rsid w:val="000F10D1"/>
    <w:rsid w:val="000F787B"/>
    <w:rsid w:val="0012091F"/>
    <w:rsid w:val="00123F3D"/>
    <w:rsid w:val="00124AAD"/>
    <w:rsid w:val="00126BC2"/>
    <w:rsid w:val="00130033"/>
    <w:rsid w:val="001308B6"/>
    <w:rsid w:val="0013121F"/>
    <w:rsid w:val="00131FE6"/>
    <w:rsid w:val="0013263F"/>
    <w:rsid w:val="001331DF"/>
    <w:rsid w:val="00134DE4"/>
    <w:rsid w:val="0014034D"/>
    <w:rsid w:val="00140FE3"/>
    <w:rsid w:val="0014481D"/>
    <w:rsid w:val="00144D16"/>
    <w:rsid w:val="00150E59"/>
    <w:rsid w:val="00152DE3"/>
    <w:rsid w:val="00164CF9"/>
    <w:rsid w:val="001667A6"/>
    <w:rsid w:val="00184AD6"/>
    <w:rsid w:val="001A4AF7"/>
    <w:rsid w:val="001B0349"/>
    <w:rsid w:val="001B1E93"/>
    <w:rsid w:val="001B65C1"/>
    <w:rsid w:val="001C260F"/>
    <w:rsid w:val="001C33F1"/>
    <w:rsid w:val="001C684B"/>
    <w:rsid w:val="001D0CFB"/>
    <w:rsid w:val="001D21AF"/>
    <w:rsid w:val="001D2E09"/>
    <w:rsid w:val="001D53FC"/>
    <w:rsid w:val="001D5DCD"/>
    <w:rsid w:val="001F42A5"/>
    <w:rsid w:val="001F7B9D"/>
    <w:rsid w:val="00200FF5"/>
    <w:rsid w:val="00201C93"/>
    <w:rsid w:val="002224B4"/>
    <w:rsid w:val="00225320"/>
    <w:rsid w:val="002447EF"/>
    <w:rsid w:val="00251550"/>
    <w:rsid w:val="0025730D"/>
    <w:rsid w:val="00263B05"/>
    <w:rsid w:val="0027221A"/>
    <w:rsid w:val="00275B61"/>
    <w:rsid w:val="00280FAF"/>
    <w:rsid w:val="00282656"/>
    <w:rsid w:val="00283292"/>
    <w:rsid w:val="00296B83"/>
    <w:rsid w:val="002A107A"/>
    <w:rsid w:val="002B4015"/>
    <w:rsid w:val="002B78CE"/>
    <w:rsid w:val="002C2FB6"/>
    <w:rsid w:val="002E4E03"/>
    <w:rsid w:val="002E5FA7"/>
    <w:rsid w:val="002F3309"/>
    <w:rsid w:val="002F4BD8"/>
    <w:rsid w:val="003008CE"/>
    <w:rsid w:val="003009B7"/>
    <w:rsid w:val="00300E56"/>
    <w:rsid w:val="0030152C"/>
    <w:rsid w:val="0030469C"/>
    <w:rsid w:val="003170B9"/>
    <w:rsid w:val="00317290"/>
    <w:rsid w:val="00321CA6"/>
    <w:rsid w:val="00323763"/>
    <w:rsid w:val="00323C5F"/>
    <w:rsid w:val="00324D7D"/>
    <w:rsid w:val="00334C09"/>
    <w:rsid w:val="003723D4"/>
    <w:rsid w:val="00372F44"/>
    <w:rsid w:val="00381905"/>
    <w:rsid w:val="00384CC8"/>
    <w:rsid w:val="003871FD"/>
    <w:rsid w:val="00387634"/>
    <w:rsid w:val="003A1E30"/>
    <w:rsid w:val="003A2829"/>
    <w:rsid w:val="003A7D1C"/>
    <w:rsid w:val="003B304B"/>
    <w:rsid w:val="003B3146"/>
    <w:rsid w:val="003B547F"/>
    <w:rsid w:val="003D1E02"/>
    <w:rsid w:val="003F015E"/>
    <w:rsid w:val="00400414"/>
    <w:rsid w:val="0041446B"/>
    <w:rsid w:val="0044071E"/>
    <w:rsid w:val="0044329C"/>
    <w:rsid w:val="00453E24"/>
    <w:rsid w:val="00457456"/>
    <w:rsid w:val="004577FE"/>
    <w:rsid w:val="00457B9C"/>
    <w:rsid w:val="0046164A"/>
    <w:rsid w:val="004628D2"/>
    <w:rsid w:val="00462DCD"/>
    <w:rsid w:val="004648AD"/>
    <w:rsid w:val="00466E0E"/>
    <w:rsid w:val="004703A9"/>
    <w:rsid w:val="004760DE"/>
    <w:rsid w:val="004763D7"/>
    <w:rsid w:val="004846B2"/>
    <w:rsid w:val="00492849"/>
    <w:rsid w:val="004A004E"/>
    <w:rsid w:val="004A24CF"/>
    <w:rsid w:val="004A5E57"/>
    <w:rsid w:val="004C194F"/>
    <w:rsid w:val="004C3D1D"/>
    <w:rsid w:val="004C3D84"/>
    <w:rsid w:val="004C4A63"/>
    <w:rsid w:val="004C6A6E"/>
    <w:rsid w:val="004C7913"/>
    <w:rsid w:val="004E065D"/>
    <w:rsid w:val="004E1C42"/>
    <w:rsid w:val="004E23B7"/>
    <w:rsid w:val="004E4DD6"/>
    <w:rsid w:val="004F5E36"/>
    <w:rsid w:val="00507B47"/>
    <w:rsid w:val="00507BEF"/>
    <w:rsid w:val="00507CC9"/>
    <w:rsid w:val="005119A5"/>
    <w:rsid w:val="005278B7"/>
    <w:rsid w:val="00532016"/>
    <w:rsid w:val="005346C8"/>
    <w:rsid w:val="00543E7D"/>
    <w:rsid w:val="00547024"/>
    <w:rsid w:val="00547A68"/>
    <w:rsid w:val="005531C9"/>
    <w:rsid w:val="00553243"/>
    <w:rsid w:val="00570C43"/>
    <w:rsid w:val="00585591"/>
    <w:rsid w:val="00592274"/>
    <w:rsid w:val="005950AC"/>
    <w:rsid w:val="005970E1"/>
    <w:rsid w:val="005B2110"/>
    <w:rsid w:val="005B61E6"/>
    <w:rsid w:val="005C77E1"/>
    <w:rsid w:val="005D668A"/>
    <w:rsid w:val="005D6A2F"/>
    <w:rsid w:val="005E0592"/>
    <w:rsid w:val="005E1A82"/>
    <w:rsid w:val="005E794C"/>
    <w:rsid w:val="005F0A28"/>
    <w:rsid w:val="005F0E5E"/>
    <w:rsid w:val="00600535"/>
    <w:rsid w:val="00610CD6"/>
    <w:rsid w:val="00620DEE"/>
    <w:rsid w:val="00621F92"/>
    <w:rsid w:val="0062280A"/>
    <w:rsid w:val="006231E1"/>
    <w:rsid w:val="00625639"/>
    <w:rsid w:val="00631B33"/>
    <w:rsid w:val="0064184D"/>
    <w:rsid w:val="006422CC"/>
    <w:rsid w:val="00651D18"/>
    <w:rsid w:val="00660E3E"/>
    <w:rsid w:val="00662E74"/>
    <w:rsid w:val="00677ECE"/>
    <w:rsid w:val="00680C23"/>
    <w:rsid w:val="00683E23"/>
    <w:rsid w:val="00685E94"/>
    <w:rsid w:val="00693766"/>
    <w:rsid w:val="006A3281"/>
    <w:rsid w:val="006A4F7C"/>
    <w:rsid w:val="006B4888"/>
    <w:rsid w:val="006C2E45"/>
    <w:rsid w:val="006C359C"/>
    <w:rsid w:val="006C5579"/>
    <w:rsid w:val="006D6E8B"/>
    <w:rsid w:val="006D7209"/>
    <w:rsid w:val="006E737D"/>
    <w:rsid w:val="006F5EC6"/>
    <w:rsid w:val="00707DD1"/>
    <w:rsid w:val="00713973"/>
    <w:rsid w:val="007200C4"/>
    <w:rsid w:val="00720A24"/>
    <w:rsid w:val="00732386"/>
    <w:rsid w:val="00733325"/>
    <w:rsid w:val="0073514D"/>
    <w:rsid w:val="007447F3"/>
    <w:rsid w:val="0075499F"/>
    <w:rsid w:val="007617CC"/>
    <w:rsid w:val="007661C8"/>
    <w:rsid w:val="0077098D"/>
    <w:rsid w:val="00776756"/>
    <w:rsid w:val="00785BF9"/>
    <w:rsid w:val="007931FA"/>
    <w:rsid w:val="007A4861"/>
    <w:rsid w:val="007A7BBA"/>
    <w:rsid w:val="007B0C50"/>
    <w:rsid w:val="007B48F9"/>
    <w:rsid w:val="007B593E"/>
    <w:rsid w:val="007C1A43"/>
    <w:rsid w:val="007C2283"/>
    <w:rsid w:val="007D0951"/>
    <w:rsid w:val="007D33AE"/>
    <w:rsid w:val="007E2617"/>
    <w:rsid w:val="007E45D0"/>
    <w:rsid w:val="007F27C8"/>
    <w:rsid w:val="007F6759"/>
    <w:rsid w:val="0080013E"/>
    <w:rsid w:val="00813288"/>
    <w:rsid w:val="008168FC"/>
    <w:rsid w:val="00830996"/>
    <w:rsid w:val="008314D7"/>
    <w:rsid w:val="008323AA"/>
    <w:rsid w:val="008345F1"/>
    <w:rsid w:val="00837693"/>
    <w:rsid w:val="00865A31"/>
    <w:rsid w:val="00865B07"/>
    <w:rsid w:val="008667EA"/>
    <w:rsid w:val="0087637F"/>
    <w:rsid w:val="00892AD5"/>
    <w:rsid w:val="008A1512"/>
    <w:rsid w:val="008C1F60"/>
    <w:rsid w:val="008C6CDC"/>
    <w:rsid w:val="008D32B9"/>
    <w:rsid w:val="008D433B"/>
    <w:rsid w:val="008D4A16"/>
    <w:rsid w:val="008E209A"/>
    <w:rsid w:val="008E45BC"/>
    <w:rsid w:val="008E566E"/>
    <w:rsid w:val="008F27AA"/>
    <w:rsid w:val="008F38CA"/>
    <w:rsid w:val="0090161A"/>
    <w:rsid w:val="00901EB6"/>
    <w:rsid w:val="009041F8"/>
    <w:rsid w:val="00904C62"/>
    <w:rsid w:val="00913591"/>
    <w:rsid w:val="00922BA8"/>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84ACC"/>
    <w:rsid w:val="00993B84"/>
    <w:rsid w:val="00996483"/>
    <w:rsid w:val="00996F5A"/>
    <w:rsid w:val="009A79C5"/>
    <w:rsid w:val="009B041A"/>
    <w:rsid w:val="009C37C3"/>
    <w:rsid w:val="009C7C86"/>
    <w:rsid w:val="009D2FF7"/>
    <w:rsid w:val="009E7884"/>
    <w:rsid w:val="009E788A"/>
    <w:rsid w:val="009F0E08"/>
    <w:rsid w:val="00A079AE"/>
    <w:rsid w:val="00A1763D"/>
    <w:rsid w:val="00A17CEC"/>
    <w:rsid w:val="00A26CBB"/>
    <w:rsid w:val="00A27EF0"/>
    <w:rsid w:val="00A42361"/>
    <w:rsid w:val="00A45B8A"/>
    <w:rsid w:val="00A50B20"/>
    <w:rsid w:val="00A51390"/>
    <w:rsid w:val="00A60D13"/>
    <w:rsid w:val="00A7223D"/>
    <w:rsid w:val="00A72745"/>
    <w:rsid w:val="00A76EFC"/>
    <w:rsid w:val="00A858C7"/>
    <w:rsid w:val="00A859AA"/>
    <w:rsid w:val="00A87D50"/>
    <w:rsid w:val="00A91010"/>
    <w:rsid w:val="00A97F29"/>
    <w:rsid w:val="00AA702E"/>
    <w:rsid w:val="00AA7D26"/>
    <w:rsid w:val="00AB0964"/>
    <w:rsid w:val="00AB5011"/>
    <w:rsid w:val="00AB5AD8"/>
    <w:rsid w:val="00AC1EC8"/>
    <w:rsid w:val="00AC7368"/>
    <w:rsid w:val="00AD0278"/>
    <w:rsid w:val="00AD16B9"/>
    <w:rsid w:val="00AE377D"/>
    <w:rsid w:val="00AF0EBA"/>
    <w:rsid w:val="00B02C8A"/>
    <w:rsid w:val="00B17FBD"/>
    <w:rsid w:val="00B204E3"/>
    <w:rsid w:val="00B315A6"/>
    <w:rsid w:val="00B31813"/>
    <w:rsid w:val="00B33365"/>
    <w:rsid w:val="00B45109"/>
    <w:rsid w:val="00B57B36"/>
    <w:rsid w:val="00B57E6F"/>
    <w:rsid w:val="00B77DDE"/>
    <w:rsid w:val="00B8686D"/>
    <w:rsid w:val="00B93F69"/>
    <w:rsid w:val="00B94B06"/>
    <w:rsid w:val="00B96D99"/>
    <w:rsid w:val="00BB1DDC"/>
    <w:rsid w:val="00BC30C9"/>
    <w:rsid w:val="00BD077D"/>
    <w:rsid w:val="00BE3E58"/>
    <w:rsid w:val="00C01616"/>
    <w:rsid w:val="00C0162B"/>
    <w:rsid w:val="00C040D5"/>
    <w:rsid w:val="00C068ED"/>
    <w:rsid w:val="00C208E9"/>
    <w:rsid w:val="00C22E0C"/>
    <w:rsid w:val="00C345B1"/>
    <w:rsid w:val="00C40142"/>
    <w:rsid w:val="00C52C3C"/>
    <w:rsid w:val="00C57182"/>
    <w:rsid w:val="00C57863"/>
    <w:rsid w:val="00C640AF"/>
    <w:rsid w:val="00C655FD"/>
    <w:rsid w:val="00C65E14"/>
    <w:rsid w:val="00C72296"/>
    <w:rsid w:val="00C74F39"/>
    <w:rsid w:val="00C75407"/>
    <w:rsid w:val="00C841C6"/>
    <w:rsid w:val="00C870A8"/>
    <w:rsid w:val="00C94434"/>
    <w:rsid w:val="00CA0D75"/>
    <w:rsid w:val="00CA1C95"/>
    <w:rsid w:val="00CA5A9C"/>
    <w:rsid w:val="00CB1889"/>
    <w:rsid w:val="00CC4C20"/>
    <w:rsid w:val="00CD3517"/>
    <w:rsid w:val="00CD55D8"/>
    <w:rsid w:val="00CD5FE2"/>
    <w:rsid w:val="00CE0683"/>
    <w:rsid w:val="00CE7C68"/>
    <w:rsid w:val="00D02B4C"/>
    <w:rsid w:val="00D040C4"/>
    <w:rsid w:val="00D05653"/>
    <w:rsid w:val="00D20AD1"/>
    <w:rsid w:val="00D2582C"/>
    <w:rsid w:val="00D46B7E"/>
    <w:rsid w:val="00D57C84"/>
    <w:rsid w:val="00D6057D"/>
    <w:rsid w:val="00D71640"/>
    <w:rsid w:val="00D836C5"/>
    <w:rsid w:val="00D84576"/>
    <w:rsid w:val="00D8534E"/>
    <w:rsid w:val="00DA1399"/>
    <w:rsid w:val="00DA24C6"/>
    <w:rsid w:val="00DA4D7B"/>
    <w:rsid w:val="00DD271C"/>
    <w:rsid w:val="00DE264A"/>
    <w:rsid w:val="00DF5072"/>
    <w:rsid w:val="00DF63BB"/>
    <w:rsid w:val="00E02D18"/>
    <w:rsid w:val="00E041E7"/>
    <w:rsid w:val="00E1174B"/>
    <w:rsid w:val="00E11AF2"/>
    <w:rsid w:val="00E1396C"/>
    <w:rsid w:val="00E16585"/>
    <w:rsid w:val="00E23CA1"/>
    <w:rsid w:val="00E409A8"/>
    <w:rsid w:val="00E47D61"/>
    <w:rsid w:val="00E50C12"/>
    <w:rsid w:val="00E57EAF"/>
    <w:rsid w:val="00E65B91"/>
    <w:rsid w:val="00E66A9A"/>
    <w:rsid w:val="00E7209D"/>
    <w:rsid w:val="00E72EAD"/>
    <w:rsid w:val="00E77223"/>
    <w:rsid w:val="00E8528B"/>
    <w:rsid w:val="00E85B94"/>
    <w:rsid w:val="00E978D0"/>
    <w:rsid w:val="00EA4613"/>
    <w:rsid w:val="00EA7F91"/>
    <w:rsid w:val="00EB0F97"/>
    <w:rsid w:val="00EB1523"/>
    <w:rsid w:val="00EC0E49"/>
    <w:rsid w:val="00EC101F"/>
    <w:rsid w:val="00EC1D9F"/>
    <w:rsid w:val="00EE0131"/>
    <w:rsid w:val="00EE17B0"/>
    <w:rsid w:val="00EF06D9"/>
    <w:rsid w:val="00EF0982"/>
    <w:rsid w:val="00F3049E"/>
    <w:rsid w:val="00F30C64"/>
    <w:rsid w:val="00F32BA2"/>
    <w:rsid w:val="00F32CDB"/>
    <w:rsid w:val="00F3348F"/>
    <w:rsid w:val="00F37280"/>
    <w:rsid w:val="00F41EE4"/>
    <w:rsid w:val="00F43D68"/>
    <w:rsid w:val="00F565FE"/>
    <w:rsid w:val="00F63A70"/>
    <w:rsid w:val="00F63D8C"/>
    <w:rsid w:val="00F7534E"/>
    <w:rsid w:val="00F90736"/>
    <w:rsid w:val="00F93EDF"/>
    <w:rsid w:val="00FA1802"/>
    <w:rsid w:val="00FA21D0"/>
    <w:rsid w:val="00FA3B0C"/>
    <w:rsid w:val="00FA5F5F"/>
    <w:rsid w:val="00FB730C"/>
    <w:rsid w:val="00FC2695"/>
    <w:rsid w:val="00FC3E03"/>
    <w:rsid w:val="00FC3FC1"/>
    <w:rsid w:val="00FD6BCB"/>
    <w:rsid w:val="00FD748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2F4BD8"/>
    <w:pPr>
      <w:keepNext/>
      <w:numPr>
        <w:ilvl w:val="2"/>
        <w:numId w:val="1"/>
      </w:numPr>
      <w:suppressAutoHyphens/>
      <w:spacing w:before="120" w:after="120" w:line="240" w:lineRule="auto"/>
    </w:pPr>
    <w:rPr>
      <w:rFonts w:ascii="Arial" w:eastAsia="Times New Roman" w:hAnsi="Arial" w:cs="Times New Roman"/>
      <w:b/>
      <w:color w:val="000000" w:themeColor="text1"/>
      <w:sz w:val="18"/>
      <w:szCs w:val="20"/>
      <w:lang w:val="en-GB"/>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2F4BD8"/>
    <w:rPr>
      <w:rFonts w:ascii="Arial" w:eastAsia="Times New Roman" w:hAnsi="Arial" w:cs="Times New Roman"/>
      <w:b/>
      <w:color w:val="000000" w:themeColor="text1"/>
      <w:sz w:val="18"/>
      <w:szCs w:val="20"/>
      <w:lang w:val="en-GB"/>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color w:val="000000" w:themeColor="text1"/>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Enfasigrassetto">
    <w:name w:val="Strong"/>
    <w:basedOn w:val="Carpredefinitoparagrafo"/>
    <w:uiPriority w:val="22"/>
    <w:qFormat/>
    <w:rsid w:val="00FD6BCB"/>
    <w:rPr>
      <w:b/>
      <w:bCs/>
    </w:rPr>
  </w:style>
  <w:style w:type="paragraph" w:customStyle="1" w:styleId="MDPI62BackMatter">
    <w:name w:val="MDPI_6.2_BackMatter"/>
    <w:qFormat/>
    <w:rsid w:val="004C4A63"/>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paragraph" w:customStyle="1" w:styleId="MDPIheaderjournallogo">
    <w:name w:val="MDPI_header_journal_logo"/>
    <w:qFormat/>
    <w:rsid w:val="00F90736"/>
    <w:pPr>
      <w:adjustRightInd w:val="0"/>
      <w:snapToGrid w:val="0"/>
      <w:spacing w:after="0" w:line="260" w:lineRule="atLeast"/>
      <w:jc w:val="both"/>
    </w:pPr>
    <w:rPr>
      <w:rFonts w:ascii="Palatino Linotype" w:eastAsia="Times New Roman" w:hAnsi="Palatino Linotype" w:cs="Times New Roman"/>
      <w:i/>
      <w:color w:val="000000"/>
      <w:sz w:val="24"/>
      <w:lang w:val="en-US" w:eastAsia="de-CH"/>
    </w:rPr>
  </w:style>
  <w:style w:type="character" w:styleId="Enfasicorsivo">
    <w:name w:val="Emphasis"/>
    <w:basedOn w:val="Carpredefinitoparagrafo"/>
    <w:uiPriority w:val="20"/>
    <w:qFormat/>
    <w:rsid w:val="00CE06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3425</Words>
  <Characters>19523</Characters>
  <Application>Microsoft Office Word</Application>
  <DocSecurity>0</DocSecurity>
  <Lines>162</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Domenico Pirozzi</cp:lastModifiedBy>
  <cp:revision>91</cp:revision>
  <cp:lastPrinted>2015-05-12T18:31:00Z</cp:lastPrinted>
  <dcterms:created xsi:type="dcterms:W3CDTF">2024-02-20T10:29:00Z</dcterms:created>
  <dcterms:modified xsi:type="dcterms:W3CDTF">2026-04-09T16:33:00Z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